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52"/>
          <w:szCs w:val="52"/>
        </w:rPr>
      </w:pPr>
    </w:p>
    <w:p>
      <w:pPr>
        <w:rPr>
          <w:b/>
          <w:bCs/>
          <w:sz w:val="52"/>
          <w:szCs w:val="52"/>
        </w:rPr>
      </w:pPr>
    </w:p>
    <w:p>
      <w:pPr>
        <w:jc w:val="center"/>
        <w:rPr>
          <w:b/>
          <w:bCs/>
          <w:sz w:val="52"/>
          <w:szCs w:val="52"/>
        </w:rPr>
      </w:pPr>
      <w:r>
        <w:rPr>
          <w:rFonts w:hint="eastAsia"/>
          <w:b/>
          <w:bCs/>
          <w:sz w:val="52"/>
          <w:szCs w:val="52"/>
        </w:rPr>
        <w:t>香河县财政项目支出</w:t>
      </w:r>
    </w:p>
    <w:p>
      <w:pPr>
        <w:jc w:val="center"/>
        <w:rPr>
          <w:b/>
          <w:bCs/>
          <w:sz w:val="52"/>
          <w:szCs w:val="52"/>
        </w:rPr>
      </w:pPr>
      <w:r>
        <w:rPr>
          <w:rFonts w:hint="eastAsia"/>
          <w:b/>
          <w:bCs/>
          <w:sz w:val="52"/>
          <w:szCs w:val="52"/>
        </w:rPr>
        <w:t>绩效评价报告</w:t>
      </w:r>
    </w:p>
    <w:p>
      <w:pPr>
        <w:rPr>
          <w:b/>
          <w:bCs/>
          <w:sz w:val="52"/>
        </w:rPr>
      </w:pPr>
    </w:p>
    <w:p>
      <w:pPr>
        <w:rPr>
          <w:b/>
          <w:bCs/>
          <w:sz w:val="52"/>
        </w:rPr>
      </w:pPr>
    </w:p>
    <w:p>
      <w:pPr>
        <w:rPr>
          <w:b/>
          <w:bCs/>
          <w:sz w:val="52"/>
        </w:rPr>
      </w:pPr>
    </w:p>
    <w:p>
      <w:pPr>
        <w:rPr>
          <w:b/>
          <w:bCs/>
          <w:sz w:val="52"/>
        </w:rPr>
      </w:pPr>
    </w:p>
    <w:p>
      <w:pPr>
        <w:rPr>
          <w:rFonts w:eastAsia="黑体"/>
          <w:sz w:val="30"/>
        </w:rPr>
      </w:pPr>
    </w:p>
    <w:p>
      <w:pPr>
        <w:rPr>
          <w:rFonts w:eastAsia="黑体"/>
          <w:sz w:val="30"/>
        </w:rPr>
      </w:pPr>
    </w:p>
    <w:p>
      <w:pPr>
        <w:rPr>
          <w:rFonts w:eastAsia="黑体"/>
          <w:sz w:val="30"/>
        </w:rPr>
      </w:pPr>
    </w:p>
    <w:p>
      <w:pPr>
        <w:snapToGrid w:val="0"/>
        <w:spacing w:line="360" w:lineRule="auto"/>
        <w:ind w:firstLine="566" w:firstLineChars="177"/>
        <w:rPr>
          <w:rFonts w:ascii="宋体" w:hAnsi="宋体"/>
          <w:sz w:val="32"/>
          <w:szCs w:val="32"/>
          <w:u w:val="single"/>
        </w:rPr>
      </w:pPr>
      <w:r>
        <w:rPr>
          <w:rFonts w:hint="eastAsia" w:ascii="宋体" w:hAnsi="宋体"/>
          <w:sz w:val="32"/>
          <w:szCs w:val="32"/>
        </w:rPr>
        <w:t>主管部门：</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香河县医疗保障局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napToGrid w:val="0"/>
        <w:spacing w:line="360" w:lineRule="auto"/>
        <w:ind w:firstLine="566" w:firstLineChars="177"/>
        <w:rPr>
          <w:rFonts w:hint="eastAsia" w:ascii="宋体" w:hAnsi="宋体"/>
          <w:sz w:val="32"/>
          <w:szCs w:val="32"/>
          <w:u w:val="single"/>
        </w:rPr>
      </w:pPr>
      <w:r>
        <w:rPr>
          <w:rFonts w:hint="eastAsia" w:ascii="宋体" w:hAnsi="宋体"/>
          <w:sz w:val="32"/>
          <w:szCs w:val="32"/>
        </w:rPr>
        <w:t>项目单位：</w:t>
      </w:r>
      <w:r>
        <w:rPr>
          <w:rFonts w:hint="eastAsia" w:ascii="宋体" w:hAnsi="宋体"/>
          <w:sz w:val="32"/>
          <w:szCs w:val="32"/>
          <w:u w:val="single"/>
        </w:rPr>
        <w:t xml:space="preserve">  香河县城乡居民医疗保险管理中心 </w:t>
      </w:r>
    </w:p>
    <w:p>
      <w:pPr>
        <w:snapToGrid w:val="0"/>
        <w:spacing w:line="360" w:lineRule="auto"/>
        <w:ind w:firstLine="566" w:firstLineChars="177"/>
        <w:rPr>
          <w:rFonts w:hAnsi="宋体"/>
          <w:sz w:val="32"/>
          <w:u w:val="single"/>
        </w:rPr>
      </w:pPr>
      <w:r>
        <w:rPr>
          <w:rFonts w:hint="eastAsia" w:ascii="宋体" w:hAnsi="宋体"/>
          <w:sz w:val="32"/>
          <w:szCs w:val="32"/>
        </w:rPr>
        <w:t>项目名称：</w:t>
      </w:r>
      <w:r>
        <w:rPr>
          <w:rFonts w:hint="eastAsia" w:ascii="宋体" w:hAnsi="宋体"/>
          <w:sz w:val="32"/>
          <w:szCs w:val="32"/>
          <w:u w:val="single"/>
        </w:rPr>
        <w:t xml:space="preserve">   城乡居民医疗保险县级补助资金  </w:t>
      </w:r>
    </w:p>
    <w:p>
      <w:pPr>
        <w:tabs>
          <w:tab w:val="left" w:pos="8505"/>
        </w:tabs>
        <w:snapToGrid w:val="0"/>
        <w:spacing w:line="360" w:lineRule="auto"/>
        <w:ind w:firstLine="566" w:firstLineChars="177"/>
        <w:rPr>
          <w:rFonts w:ascii="宋体" w:hAnsi="宋体"/>
          <w:sz w:val="32"/>
          <w:szCs w:val="32"/>
          <w:u w:val="single"/>
        </w:rPr>
      </w:pPr>
      <w:r>
        <w:rPr>
          <w:rFonts w:hint="eastAsia" w:ascii="宋体" w:hAnsi="宋体"/>
          <w:sz w:val="32"/>
          <w:szCs w:val="32"/>
        </w:rPr>
        <w:t>评价机构：</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河北省廊坊市香河县财政局    </w:t>
      </w:r>
    </w:p>
    <w:p>
      <w:pPr>
        <w:snapToGrid w:val="0"/>
        <w:ind w:firstLine="566" w:firstLineChars="177"/>
        <w:jc w:val="left"/>
        <w:rPr>
          <w:rFonts w:ascii="宋体" w:hAnsi="宋体"/>
          <w:sz w:val="32"/>
          <w:szCs w:val="32"/>
        </w:rPr>
      </w:pPr>
      <w:r>
        <w:rPr>
          <w:rFonts w:hint="eastAsia" w:ascii="宋体" w:hAnsi="宋体"/>
          <w:sz w:val="32"/>
          <w:szCs w:val="32"/>
        </w:rPr>
        <w:t>参与评价</w:t>
      </w:r>
    </w:p>
    <w:p>
      <w:pPr>
        <w:snapToGrid w:val="0"/>
        <w:spacing w:line="360" w:lineRule="auto"/>
        <w:ind w:firstLine="566" w:firstLineChars="177"/>
        <w:jc w:val="left"/>
        <w:rPr>
          <w:rFonts w:ascii="宋体" w:hAnsi="宋体"/>
          <w:sz w:val="32"/>
          <w:szCs w:val="32"/>
          <w:u w:val="single"/>
        </w:rPr>
      </w:pPr>
      <w:r>
        <w:rPr>
          <w:rFonts w:hint="eastAsia" w:ascii="宋体" w:hAnsi="宋体"/>
          <w:sz w:val="32"/>
          <w:szCs w:val="32"/>
        </w:rPr>
        <w:t xml:space="preserve">中介机构: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中逸会计师事务所有限公司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jc w:val="center"/>
        <w:rPr>
          <w:rFonts w:ascii="宋体" w:hAnsi="宋体"/>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香河县财政局</w:t>
      </w:r>
    </w:p>
    <w:p>
      <w:pPr>
        <w:jc w:val="center"/>
        <w:rPr>
          <w:rFonts w:ascii="宋体" w:hAnsi="宋体"/>
          <w:b/>
          <w:sz w:val="32"/>
          <w:szCs w:val="32"/>
        </w:rPr>
      </w:pPr>
      <w:r>
        <w:rPr>
          <w:rFonts w:hint="eastAsia" w:ascii="宋体" w:hAnsi="宋体"/>
          <w:b/>
          <w:sz w:val="32"/>
          <w:szCs w:val="32"/>
        </w:rPr>
        <w:t>二〇</w:t>
      </w:r>
      <w:r>
        <w:rPr>
          <w:rFonts w:hint="eastAsia" w:ascii="宋体" w:hAnsi="宋体"/>
          <w:b/>
          <w:sz w:val="32"/>
          <w:szCs w:val="32"/>
          <w:lang w:val="en-US" w:eastAsia="zh-CN"/>
        </w:rPr>
        <w:t>二〇</w:t>
      </w:r>
      <w:r>
        <w:rPr>
          <w:rFonts w:hint="eastAsia" w:ascii="宋体" w:hAnsi="宋体"/>
          <w:b/>
          <w:sz w:val="32"/>
          <w:szCs w:val="32"/>
        </w:rPr>
        <w:t>年十</w:t>
      </w:r>
      <w:r>
        <w:rPr>
          <w:rFonts w:hint="eastAsia" w:ascii="宋体" w:hAnsi="宋体"/>
          <w:b/>
          <w:sz w:val="32"/>
          <w:szCs w:val="32"/>
          <w:lang w:val="en-US" w:eastAsia="zh-CN"/>
        </w:rPr>
        <w:t>二</w:t>
      </w:r>
      <w:r>
        <w:rPr>
          <w:rFonts w:hint="eastAsia" w:ascii="宋体" w:hAnsi="宋体"/>
          <w:b/>
          <w:sz w:val="32"/>
          <w:szCs w:val="32"/>
        </w:rPr>
        <w:t>月</w:t>
      </w:r>
    </w:p>
    <w:p>
      <w:pPr>
        <w:rPr>
          <w:rFonts w:ascii="宋体" w:hAnsi="宋体"/>
          <w:b/>
          <w:sz w:val="32"/>
          <w:szCs w:val="32"/>
        </w:rPr>
      </w:pPr>
    </w:p>
    <w:p>
      <w:pPr>
        <w:spacing w:line="360" w:lineRule="auto"/>
        <w:rPr>
          <w:rFonts w:ascii="仿宋_GB2312" w:hAnsi="宋体" w:eastAsia="仿宋_GB2312"/>
          <w:sz w:val="32"/>
          <w:szCs w:val="32"/>
        </w:rPr>
      </w:pPr>
    </w:p>
    <w:p>
      <w:pPr>
        <w:spacing w:line="360" w:lineRule="auto"/>
        <w:rPr>
          <w:rFonts w:hint="eastAsia" w:ascii="仿宋_GB2312" w:hAnsi="宋体" w:eastAsia="仿宋_GB2312"/>
          <w:b/>
          <w:sz w:val="32"/>
          <w:szCs w:val="32"/>
          <w:lang w:eastAsia="zh-CN"/>
        </w:rPr>
      </w:pPr>
      <w:bookmarkStart w:id="0" w:name="_Toc169183181"/>
      <w:r>
        <w:rPr>
          <w:rFonts w:hint="eastAsia" w:ascii="仿宋_GB2312" w:hAnsi="宋体" w:eastAsia="仿宋_GB2312"/>
          <w:b/>
          <w:sz w:val="32"/>
          <w:szCs w:val="32"/>
          <w:lang w:eastAsia="zh-CN"/>
        </w:rPr>
        <w:drawing>
          <wp:inline distT="0" distB="0" distL="114300" distR="114300">
            <wp:extent cx="5760720" cy="3941445"/>
            <wp:effectExtent l="0" t="0" r="11430" b="1905"/>
            <wp:docPr id="1" name="图片 1" descr="3-5、河北省香河县城乡居民医疗保险管理中心窗口展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5、河北省香河县城乡居民医疗保险管理中心窗口展示"/>
                    <pic:cNvPicPr>
                      <a:picLocks noChangeAspect="1"/>
                    </pic:cNvPicPr>
                  </pic:nvPicPr>
                  <pic:blipFill>
                    <a:blip r:embed="rId7"/>
                    <a:stretch>
                      <a:fillRect/>
                    </a:stretch>
                  </pic:blipFill>
                  <pic:spPr>
                    <a:xfrm>
                      <a:off x="0" y="0"/>
                      <a:ext cx="5760720" cy="3941445"/>
                    </a:xfrm>
                    <a:prstGeom prst="rect">
                      <a:avLst/>
                    </a:prstGeom>
                  </pic:spPr>
                </pic:pic>
              </a:graphicData>
            </a:graphic>
          </wp:inline>
        </w:drawing>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图一 管理中心</w:t>
      </w:r>
      <w:r>
        <w:rPr>
          <w:rFonts w:hint="eastAsia" w:ascii="仿宋_GB2312" w:hAnsi="宋体" w:eastAsia="仿宋_GB2312"/>
          <w:b/>
          <w:sz w:val="32"/>
          <w:szCs w:val="32"/>
          <w:lang w:val="en-US" w:eastAsia="zh-CN"/>
        </w:rPr>
        <w:t>对民</w:t>
      </w:r>
      <w:r>
        <w:rPr>
          <w:rFonts w:hint="eastAsia" w:ascii="仿宋_GB2312" w:hAnsi="宋体" w:eastAsia="仿宋_GB2312"/>
          <w:b/>
          <w:sz w:val="32"/>
          <w:szCs w:val="32"/>
        </w:rPr>
        <w:t>窗口展示截图</w:t>
      </w:r>
    </w:p>
    <w:p>
      <w:pPr>
        <w:spacing w:line="360" w:lineRule="auto"/>
        <w:jc w:val="center"/>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drawing>
          <wp:inline distT="0" distB="0" distL="114300" distR="114300">
            <wp:extent cx="5725160" cy="3865245"/>
            <wp:effectExtent l="0" t="0" r="8890" b="1905"/>
            <wp:docPr id="2" name="图片 2" descr="3.6宣传海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宣传海报"/>
                    <pic:cNvPicPr>
                      <a:picLocks noChangeAspect="1"/>
                    </pic:cNvPicPr>
                  </pic:nvPicPr>
                  <pic:blipFill>
                    <a:blip r:embed="rId8"/>
                    <a:stretch>
                      <a:fillRect/>
                    </a:stretch>
                  </pic:blipFill>
                  <pic:spPr>
                    <a:xfrm>
                      <a:off x="0" y="0"/>
                      <a:ext cx="5725160" cy="3865245"/>
                    </a:xfrm>
                    <a:prstGeom prst="rect">
                      <a:avLst/>
                    </a:prstGeom>
                  </pic:spPr>
                </pic:pic>
              </a:graphicData>
            </a:graphic>
          </wp:inline>
        </w:drawing>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图二 宣传海报截图</w:t>
      </w:r>
    </w:p>
    <w:p>
      <w:pPr>
        <w:jc w:val="center"/>
        <w:rPr>
          <w:rFonts w:ascii="仿宋_GB2312" w:eastAsia="仿宋_GB2312"/>
          <w:sz w:val="32"/>
          <w:szCs w:val="32"/>
          <w:lang w:val="zh-CN"/>
        </w:rPr>
      </w:pPr>
      <w:r>
        <w:rPr>
          <w:rFonts w:hint="eastAsia" w:ascii="仿宋_GB2312" w:eastAsia="仿宋_GB2312"/>
          <w:sz w:val="32"/>
          <w:szCs w:val="32"/>
          <w:lang w:val="zh-CN"/>
        </w:rPr>
        <w:t>目录</w:t>
      </w:r>
    </w:p>
    <w:p>
      <w:pPr>
        <w:jc w:val="center"/>
        <w:rPr>
          <w:rFonts w:ascii="仿宋_GB2312" w:eastAsia="仿宋_GB2312"/>
          <w:sz w:val="36"/>
          <w:szCs w:val="36"/>
        </w:rPr>
      </w:pPr>
    </w:p>
    <w:p>
      <w:pPr>
        <w:pStyle w:val="10"/>
        <w:tabs>
          <w:tab w:val="right" w:leader="dot" w:pos="9072"/>
          <w:tab w:val="clear" w:pos="8608"/>
        </w:tabs>
        <w:spacing w:line="360" w:lineRule="auto"/>
        <w:rPr>
          <w:rFonts w:hAnsi="仿宋" w:cs="仿宋"/>
          <w:b w:val="0"/>
          <w:bCs/>
          <w:sz w:val="32"/>
          <w:szCs w:val="32"/>
        </w:rPr>
      </w:pPr>
      <w:r>
        <w:rPr>
          <w:rFonts w:hint="eastAsia"/>
          <w:b w:val="0"/>
          <w:sz w:val="32"/>
          <w:szCs w:val="32"/>
        </w:rPr>
        <w:fldChar w:fldCharType="begin"/>
      </w:r>
      <w:r>
        <w:rPr>
          <w:rFonts w:hint="eastAsia"/>
          <w:b w:val="0"/>
          <w:sz w:val="32"/>
          <w:szCs w:val="32"/>
        </w:rPr>
        <w:instrText xml:space="preserve"> TOC \o "1-3" \h \z \u </w:instrText>
      </w:r>
      <w:r>
        <w:rPr>
          <w:rFonts w:hint="eastAsia"/>
          <w:b w:val="0"/>
          <w:sz w:val="32"/>
          <w:szCs w:val="32"/>
        </w:rPr>
        <w:fldChar w:fldCharType="separate"/>
      </w:r>
      <w:r>
        <w:fldChar w:fldCharType="begin"/>
      </w:r>
      <w:r>
        <w:instrText xml:space="preserve"> HYPERLINK \l "_Toc15332" </w:instrText>
      </w:r>
      <w:r>
        <w:fldChar w:fldCharType="separate"/>
      </w:r>
      <w:r>
        <w:rPr>
          <w:rFonts w:hint="eastAsia" w:hAnsi="仿宋" w:cs="仿宋"/>
          <w:b w:val="0"/>
          <w:bCs/>
          <w:sz w:val="32"/>
          <w:szCs w:val="32"/>
        </w:rPr>
        <w:t>一、项目概述</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_Toc15332 </w:instrText>
      </w:r>
      <w:r>
        <w:rPr>
          <w:rFonts w:hint="eastAsia" w:hAnsi="仿宋" w:cs="仿宋"/>
          <w:b w:val="0"/>
          <w:bCs/>
          <w:sz w:val="32"/>
          <w:szCs w:val="32"/>
        </w:rPr>
        <w:fldChar w:fldCharType="separate"/>
      </w:r>
      <w:r>
        <w:rPr>
          <w:rFonts w:hint="eastAsia" w:hAnsi="仿宋" w:cs="仿宋"/>
          <w:b w:val="0"/>
          <w:bCs/>
          <w:sz w:val="32"/>
          <w:szCs w:val="32"/>
        </w:rPr>
        <w:t>1</w:t>
      </w:r>
      <w:r>
        <w:rPr>
          <w:rFonts w:hint="eastAsia" w:hAnsi="仿宋" w:cs="仿宋"/>
          <w:b w:val="0"/>
          <w:bCs/>
          <w:sz w:val="32"/>
          <w:szCs w:val="32"/>
        </w:rPr>
        <w:fldChar w:fldCharType="end"/>
      </w:r>
      <w:r>
        <w:rPr>
          <w:rFonts w:hint="eastAsia" w:hAnsi="仿宋" w:cs="仿宋"/>
          <w:b w:val="0"/>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"_Toc14107" </w:instrText>
      </w:r>
      <w:r>
        <w:fldChar w:fldCharType="separate"/>
      </w:r>
      <w:r>
        <w:rPr>
          <w:rFonts w:hint="eastAsia" w:ascii="仿宋_GB2312" w:hAnsi="仿宋" w:eastAsia="仿宋_GB2312" w:cs="仿宋"/>
          <w:bCs/>
          <w:sz w:val="32"/>
          <w:szCs w:val="32"/>
        </w:rPr>
        <w:t>（一）项目概况</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_Toc14107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1</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"_Toc18068" </w:instrText>
      </w:r>
      <w:r>
        <w:fldChar w:fldCharType="separate"/>
      </w:r>
      <w:r>
        <w:rPr>
          <w:rFonts w:hint="eastAsia" w:ascii="仿宋_GB2312" w:hAnsi="仿宋" w:eastAsia="仿宋_GB2312" w:cs="仿宋"/>
          <w:bCs/>
          <w:sz w:val="32"/>
          <w:szCs w:val="32"/>
        </w:rPr>
        <w:t>（二）项目资金细化分配情况</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_Toc18068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2</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"_Toc2621" </w:instrText>
      </w:r>
      <w:r>
        <w:fldChar w:fldCharType="separate"/>
      </w:r>
      <w:r>
        <w:rPr>
          <w:rFonts w:hint="eastAsia" w:ascii="仿宋_GB2312" w:hAnsi="仿宋" w:eastAsia="仿宋_GB2312" w:cs="仿宋"/>
          <w:bCs/>
          <w:sz w:val="32"/>
          <w:szCs w:val="32"/>
        </w:rPr>
        <w:t>（三） 项目政策依据</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_Toc2621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2</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"_Toc18615" </w:instrText>
      </w:r>
      <w:r>
        <w:fldChar w:fldCharType="separate"/>
      </w:r>
      <w:r>
        <w:rPr>
          <w:rFonts w:hint="eastAsia" w:ascii="仿宋_GB2312" w:hAnsi="仿宋" w:eastAsia="仿宋_GB2312" w:cs="仿宋"/>
          <w:bCs/>
          <w:sz w:val="32"/>
          <w:szCs w:val="32"/>
        </w:rPr>
        <w:t>（四）项目绩效目标</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_Toc18615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2</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0"/>
        <w:tabs>
          <w:tab w:val="right" w:leader="dot" w:pos="9072"/>
          <w:tab w:val="clear" w:pos="8608"/>
        </w:tabs>
        <w:spacing w:line="360" w:lineRule="auto"/>
        <w:rPr>
          <w:rFonts w:hAnsi="仿宋" w:cs="仿宋"/>
          <w:b w:val="0"/>
          <w:bCs/>
          <w:sz w:val="32"/>
          <w:szCs w:val="32"/>
        </w:rPr>
      </w:pPr>
      <w:r>
        <w:fldChar w:fldCharType="begin"/>
      </w:r>
      <w:r>
        <w:instrText xml:space="preserve"> HYPERLINK \l "_Toc4574" </w:instrText>
      </w:r>
      <w:r>
        <w:fldChar w:fldCharType="separate"/>
      </w:r>
      <w:r>
        <w:rPr>
          <w:rFonts w:hint="eastAsia" w:hAnsi="仿宋" w:cs="仿宋"/>
          <w:b w:val="0"/>
          <w:bCs/>
          <w:sz w:val="32"/>
          <w:szCs w:val="32"/>
        </w:rPr>
        <w:t>二、绩效评价工作开展情况</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_Toc4574 </w:instrText>
      </w:r>
      <w:r>
        <w:rPr>
          <w:rFonts w:hint="eastAsia" w:hAnsi="仿宋" w:cs="仿宋"/>
          <w:b w:val="0"/>
          <w:bCs/>
          <w:sz w:val="32"/>
          <w:szCs w:val="32"/>
        </w:rPr>
        <w:fldChar w:fldCharType="separate"/>
      </w:r>
      <w:r>
        <w:rPr>
          <w:rFonts w:hint="eastAsia" w:hAnsi="仿宋" w:cs="仿宋"/>
          <w:b w:val="0"/>
          <w:bCs/>
          <w:sz w:val="32"/>
          <w:szCs w:val="32"/>
        </w:rPr>
        <w:t>3</w:t>
      </w:r>
      <w:r>
        <w:rPr>
          <w:rFonts w:hint="eastAsia" w:hAnsi="仿宋" w:cs="仿宋"/>
          <w:b w:val="0"/>
          <w:bCs/>
          <w:sz w:val="32"/>
          <w:szCs w:val="32"/>
        </w:rPr>
        <w:fldChar w:fldCharType="end"/>
      </w:r>
      <w:r>
        <w:rPr>
          <w:rFonts w:hint="eastAsia" w:hAnsi="仿宋" w:cs="仿宋"/>
          <w:b w:val="0"/>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"_Toc1496" </w:instrText>
      </w:r>
      <w:r>
        <w:fldChar w:fldCharType="separate"/>
      </w:r>
      <w:r>
        <w:rPr>
          <w:rFonts w:hint="eastAsia" w:ascii="仿宋_GB2312" w:hAnsi="仿宋" w:eastAsia="仿宋_GB2312" w:cs="仿宋"/>
          <w:bCs/>
          <w:sz w:val="32"/>
          <w:szCs w:val="32"/>
        </w:rPr>
        <w:t>（一）绩效评价目标</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_Toc1496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3</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"_Toc25611" </w:instrText>
      </w:r>
      <w:r>
        <w:fldChar w:fldCharType="separate"/>
      </w:r>
      <w:r>
        <w:rPr>
          <w:rFonts w:hint="eastAsia" w:ascii="仿宋_GB2312" w:hAnsi="仿宋" w:eastAsia="仿宋_GB2312" w:cs="仿宋"/>
          <w:bCs/>
          <w:sz w:val="32"/>
          <w:szCs w:val="32"/>
        </w:rPr>
        <w:t>（二）绩效评价设计过程</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_Toc25611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3</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"_Toc25021" </w:instrText>
      </w:r>
      <w:r>
        <w:fldChar w:fldCharType="separate"/>
      </w:r>
      <w:r>
        <w:rPr>
          <w:rFonts w:hint="eastAsia" w:ascii="仿宋_GB2312" w:hAnsi="仿宋" w:eastAsia="仿宋_GB2312" w:cs="仿宋"/>
          <w:bCs/>
          <w:sz w:val="32"/>
          <w:szCs w:val="32"/>
        </w:rPr>
        <w:t>（三）绩效评价框架</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_Toc25021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4</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"_Toc3000" </w:instrText>
      </w:r>
      <w:r>
        <w:fldChar w:fldCharType="separate"/>
      </w:r>
      <w:r>
        <w:rPr>
          <w:rFonts w:hint="eastAsia" w:ascii="仿宋_GB2312" w:hAnsi="仿宋" w:eastAsia="仿宋_GB2312" w:cs="仿宋"/>
          <w:bCs/>
          <w:sz w:val="32"/>
          <w:szCs w:val="32"/>
        </w:rPr>
        <w:t>（四）证据收集方法</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_Toc3000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4</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"_Toc8387" </w:instrText>
      </w:r>
      <w:r>
        <w:fldChar w:fldCharType="separate"/>
      </w:r>
      <w:r>
        <w:rPr>
          <w:rFonts w:hint="eastAsia" w:ascii="仿宋_GB2312" w:hAnsi="仿宋" w:eastAsia="仿宋_GB2312" w:cs="仿宋"/>
          <w:bCs/>
          <w:sz w:val="32"/>
          <w:szCs w:val="32"/>
        </w:rPr>
        <w:t>（五）绩效评价实施过程</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_Toc8387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4</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0"/>
        <w:tabs>
          <w:tab w:val="right" w:leader="dot" w:pos="9072"/>
          <w:tab w:val="clear" w:pos="8608"/>
        </w:tabs>
        <w:spacing w:line="360" w:lineRule="auto"/>
        <w:rPr>
          <w:rFonts w:hAnsi="仿宋" w:cs="仿宋"/>
          <w:b w:val="0"/>
          <w:bCs/>
          <w:sz w:val="32"/>
          <w:szCs w:val="32"/>
        </w:rPr>
      </w:pPr>
      <w:r>
        <w:fldChar w:fldCharType="begin"/>
      </w:r>
      <w:r>
        <w:instrText xml:space="preserve"> HYPERLINK \l "_Toc8268" </w:instrText>
      </w:r>
      <w:r>
        <w:fldChar w:fldCharType="separate"/>
      </w:r>
      <w:r>
        <w:rPr>
          <w:rFonts w:hint="eastAsia" w:hAnsi="仿宋" w:cs="仿宋"/>
          <w:b w:val="0"/>
          <w:bCs/>
          <w:sz w:val="32"/>
          <w:szCs w:val="32"/>
        </w:rPr>
        <w:t>三、绩效评价结果</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_Toc8268 </w:instrText>
      </w:r>
      <w:r>
        <w:rPr>
          <w:rFonts w:hint="eastAsia" w:hAnsi="仿宋" w:cs="仿宋"/>
          <w:b w:val="0"/>
          <w:bCs/>
          <w:sz w:val="32"/>
          <w:szCs w:val="32"/>
        </w:rPr>
        <w:fldChar w:fldCharType="separate"/>
      </w:r>
      <w:r>
        <w:rPr>
          <w:rFonts w:hint="eastAsia" w:hAnsi="仿宋" w:cs="仿宋"/>
          <w:b w:val="0"/>
          <w:bCs/>
          <w:sz w:val="32"/>
          <w:szCs w:val="32"/>
        </w:rPr>
        <w:t>7</w:t>
      </w:r>
      <w:r>
        <w:rPr>
          <w:rFonts w:hint="eastAsia" w:hAnsi="仿宋" w:cs="仿宋"/>
          <w:b w:val="0"/>
          <w:bCs/>
          <w:sz w:val="32"/>
          <w:szCs w:val="32"/>
        </w:rPr>
        <w:fldChar w:fldCharType="end"/>
      </w:r>
      <w:r>
        <w:rPr>
          <w:rFonts w:hint="eastAsia" w:hAnsi="仿宋" w:cs="仿宋"/>
          <w:b w:val="0"/>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"_Toc20473" </w:instrText>
      </w:r>
      <w:r>
        <w:fldChar w:fldCharType="separate"/>
      </w:r>
      <w:r>
        <w:rPr>
          <w:rFonts w:hint="eastAsia" w:ascii="仿宋_GB2312" w:hAnsi="仿宋" w:eastAsia="仿宋_GB2312" w:cs="仿宋"/>
          <w:bCs/>
          <w:sz w:val="32"/>
          <w:szCs w:val="32"/>
        </w:rPr>
        <w:t>（一）绩效分析</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_Toc20473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7</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"_Toc28535" </w:instrText>
      </w:r>
      <w:r>
        <w:fldChar w:fldCharType="separate"/>
      </w:r>
      <w:r>
        <w:rPr>
          <w:rFonts w:hint="eastAsia" w:ascii="仿宋_GB2312" w:hAnsi="仿宋" w:eastAsia="仿宋_GB2312" w:cs="仿宋"/>
          <w:bCs/>
          <w:sz w:val="32"/>
          <w:szCs w:val="32"/>
        </w:rPr>
        <w:t>（二）项目绩效控制评价分析</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_Toc28535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7</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1"/>
        <w:tabs>
          <w:tab w:val="right" w:leader="dot" w:pos="9072"/>
        </w:tabs>
        <w:spacing w:line="360" w:lineRule="auto"/>
        <w:rPr>
          <w:rFonts w:ascii="仿宋_GB2312" w:hAnsi="仿宋" w:eastAsia="仿宋_GB2312" w:cs="仿宋"/>
          <w:bCs/>
          <w:sz w:val="32"/>
          <w:szCs w:val="32"/>
        </w:rPr>
      </w:pPr>
      <w:r>
        <w:fldChar w:fldCharType="begin"/>
      </w:r>
      <w:r>
        <w:instrText xml:space="preserve"> HYPERLINK \l "_Toc25565" </w:instrText>
      </w:r>
      <w:r>
        <w:fldChar w:fldCharType="separate"/>
      </w:r>
      <w:r>
        <w:rPr>
          <w:rFonts w:hint="eastAsia" w:ascii="仿宋_GB2312" w:hAnsi="仿宋" w:eastAsia="仿宋_GB2312" w:cs="仿宋"/>
          <w:bCs/>
          <w:sz w:val="32"/>
          <w:szCs w:val="32"/>
        </w:rPr>
        <w:t>（三）项目产出及效果评价分析</w:t>
      </w:r>
      <w:r>
        <w:rPr>
          <w:rFonts w:hint="eastAsia" w:ascii="仿宋_GB2312" w:hAnsi="仿宋" w:eastAsia="仿宋_GB2312" w:cs="仿宋"/>
          <w:bCs/>
          <w:sz w:val="32"/>
          <w:szCs w:val="32"/>
        </w:rPr>
        <w:tab/>
      </w:r>
      <w:r>
        <w:rPr>
          <w:rFonts w:hint="eastAsia" w:ascii="仿宋_GB2312" w:hAnsi="仿宋" w:eastAsia="仿宋_GB2312" w:cs="仿宋"/>
          <w:bCs/>
          <w:sz w:val="32"/>
          <w:szCs w:val="32"/>
        </w:rPr>
        <w:fldChar w:fldCharType="begin"/>
      </w:r>
      <w:r>
        <w:rPr>
          <w:rFonts w:hint="eastAsia" w:ascii="仿宋_GB2312" w:hAnsi="仿宋" w:eastAsia="仿宋_GB2312" w:cs="仿宋"/>
          <w:bCs/>
          <w:sz w:val="32"/>
          <w:szCs w:val="32"/>
        </w:rPr>
        <w:instrText xml:space="preserve"> PAGEREF _Toc25565 </w:instrText>
      </w:r>
      <w:r>
        <w:rPr>
          <w:rFonts w:hint="eastAsia" w:ascii="仿宋_GB2312" w:hAnsi="仿宋" w:eastAsia="仿宋_GB2312" w:cs="仿宋"/>
          <w:bCs/>
          <w:sz w:val="32"/>
          <w:szCs w:val="32"/>
        </w:rPr>
        <w:fldChar w:fldCharType="separate"/>
      </w:r>
      <w:r>
        <w:rPr>
          <w:rFonts w:hint="eastAsia" w:ascii="仿宋_GB2312" w:hAnsi="仿宋" w:eastAsia="仿宋_GB2312" w:cs="仿宋"/>
          <w:bCs/>
          <w:sz w:val="32"/>
          <w:szCs w:val="32"/>
        </w:rPr>
        <w:t>9</w:t>
      </w:r>
      <w:r>
        <w:rPr>
          <w:rFonts w:hint="eastAsia" w:ascii="仿宋_GB2312" w:hAnsi="仿宋" w:eastAsia="仿宋_GB2312" w:cs="仿宋"/>
          <w:bCs/>
          <w:sz w:val="32"/>
          <w:szCs w:val="32"/>
        </w:rPr>
        <w:fldChar w:fldCharType="end"/>
      </w:r>
      <w:r>
        <w:rPr>
          <w:rFonts w:hint="eastAsia" w:ascii="仿宋_GB2312" w:hAnsi="仿宋" w:eastAsia="仿宋_GB2312" w:cs="仿宋"/>
          <w:bCs/>
          <w:sz w:val="32"/>
          <w:szCs w:val="32"/>
        </w:rPr>
        <w:fldChar w:fldCharType="end"/>
      </w:r>
    </w:p>
    <w:p>
      <w:pPr>
        <w:pStyle w:val="10"/>
        <w:tabs>
          <w:tab w:val="right" w:leader="dot" w:pos="9072"/>
          <w:tab w:val="clear" w:pos="8608"/>
        </w:tabs>
        <w:spacing w:line="360" w:lineRule="auto"/>
        <w:rPr>
          <w:rFonts w:hAnsi="仿宋" w:cs="仿宋"/>
          <w:b w:val="0"/>
          <w:bCs/>
          <w:sz w:val="32"/>
          <w:szCs w:val="32"/>
        </w:rPr>
      </w:pPr>
      <w:r>
        <w:fldChar w:fldCharType="begin"/>
      </w:r>
      <w:r>
        <w:instrText xml:space="preserve"> HYPERLINK \l "_Toc12984" </w:instrText>
      </w:r>
      <w:r>
        <w:fldChar w:fldCharType="separate"/>
      </w:r>
      <w:r>
        <w:rPr>
          <w:rFonts w:hint="eastAsia" w:hAnsi="仿宋" w:cs="仿宋"/>
          <w:b w:val="0"/>
          <w:bCs/>
          <w:sz w:val="32"/>
          <w:szCs w:val="32"/>
        </w:rPr>
        <w:t>四、评价结论</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_Toc12984 </w:instrText>
      </w:r>
      <w:r>
        <w:rPr>
          <w:rFonts w:hint="eastAsia" w:hAnsi="仿宋" w:cs="仿宋"/>
          <w:b w:val="0"/>
          <w:bCs/>
          <w:sz w:val="32"/>
          <w:szCs w:val="32"/>
        </w:rPr>
        <w:fldChar w:fldCharType="separate"/>
      </w:r>
      <w:r>
        <w:rPr>
          <w:rFonts w:hint="eastAsia" w:hAnsi="仿宋" w:cs="仿宋"/>
          <w:b w:val="0"/>
          <w:bCs/>
          <w:sz w:val="32"/>
          <w:szCs w:val="32"/>
        </w:rPr>
        <w:t>12</w:t>
      </w:r>
      <w:r>
        <w:rPr>
          <w:rFonts w:hint="eastAsia" w:hAnsi="仿宋" w:cs="仿宋"/>
          <w:b w:val="0"/>
          <w:bCs/>
          <w:sz w:val="32"/>
          <w:szCs w:val="32"/>
        </w:rPr>
        <w:fldChar w:fldCharType="end"/>
      </w:r>
      <w:r>
        <w:rPr>
          <w:rFonts w:hint="eastAsia" w:hAnsi="仿宋" w:cs="仿宋"/>
          <w:b w:val="0"/>
          <w:bCs/>
          <w:sz w:val="32"/>
          <w:szCs w:val="32"/>
        </w:rPr>
        <w:fldChar w:fldCharType="end"/>
      </w:r>
    </w:p>
    <w:p>
      <w:pPr>
        <w:pStyle w:val="10"/>
        <w:tabs>
          <w:tab w:val="right" w:leader="dot" w:pos="9072"/>
          <w:tab w:val="clear" w:pos="8608"/>
        </w:tabs>
        <w:spacing w:line="360" w:lineRule="auto"/>
        <w:rPr>
          <w:rFonts w:hAnsi="仿宋" w:cs="仿宋"/>
          <w:b w:val="0"/>
          <w:bCs/>
          <w:sz w:val="32"/>
          <w:szCs w:val="32"/>
        </w:rPr>
      </w:pPr>
      <w:r>
        <w:fldChar w:fldCharType="begin"/>
      </w:r>
      <w:r>
        <w:instrText xml:space="preserve"> HYPERLINK \l "_Toc5109" </w:instrText>
      </w:r>
      <w:r>
        <w:fldChar w:fldCharType="separate"/>
      </w:r>
      <w:r>
        <w:rPr>
          <w:rFonts w:hint="eastAsia" w:hAnsi="仿宋" w:cs="仿宋"/>
          <w:b w:val="0"/>
          <w:bCs/>
          <w:sz w:val="32"/>
          <w:szCs w:val="32"/>
        </w:rPr>
        <w:t>五、问题</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_Toc5109 </w:instrText>
      </w:r>
      <w:r>
        <w:rPr>
          <w:rFonts w:hint="eastAsia" w:hAnsi="仿宋" w:cs="仿宋"/>
          <w:b w:val="0"/>
          <w:bCs/>
          <w:sz w:val="32"/>
          <w:szCs w:val="32"/>
        </w:rPr>
        <w:fldChar w:fldCharType="separate"/>
      </w:r>
      <w:r>
        <w:rPr>
          <w:rFonts w:hint="eastAsia" w:hAnsi="仿宋" w:cs="仿宋"/>
          <w:b w:val="0"/>
          <w:bCs/>
          <w:sz w:val="32"/>
          <w:szCs w:val="32"/>
        </w:rPr>
        <w:t>12</w:t>
      </w:r>
      <w:r>
        <w:rPr>
          <w:rFonts w:hint="eastAsia" w:hAnsi="仿宋" w:cs="仿宋"/>
          <w:b w:val="0"/>
          <w:bCs/>
          <w:sz w:val="32"/>
          <w:szCs w:val="32"/>
        </w:rPr>
        <w:fldChar w:fldCharType="end"/>
      </w:r>
      <w:r>
        <w:rPr>
          <w:rFonts w:hint="eastAsia" w:hAnsi="仿宋" w:cs="仿宋"/>
          <w:b w:val="0"/>
          <w:bCs/>
          <w:sz w:val="32"/>
          <w:szCs w:val="32"/>
        </w:rPr>
        <w:fldChar w:fldCharType="end"/>
      </w:r>
    </w:p>
    <w:p>
      <w:pPr>
        <w:pStyle w:val="10"/>
        <w:tabs>
          <w:tab w:val="right" w:leader="dot" w:pos="9072"/>
          <w:tab w:val="clear" w:pos="8608"/>
        </w:tabs>
        <w:spacing w:line="360" w:lineRule="auto"/>
        <w:rPr>
          <w:rFonts w:hAnsi="仿宋" w:cs="仿宋"/>
          <w:b w:val="0"/>
          <w:bCs/>
          <w:sz w:val="32"/>
          <w:szCs w:val="32"/>
        </w:rPr>
      </w:pPr>
      <w:r>
        <w:fldChar w:fldCharType="begin"/>
      </w:r>
      <w:r>
        <w:instrText xml:space="preserve"> HYPERLINK \l "_Toc20743" </w:instrText>
      </w:r>
      <w:r>
        <w:fldChar w:fldCharType="separate"/>
      </w:r>
      <w:r>
        <w:rPr>
          <w:rFonts w:hint="eastAsia" w:hAnsi="仿宋" w:cs="仿宋"/>
          <w:b w:val="0"/>
          <w:bCs/>
          <w:sz w:val="32"/>
          <w:szCs w:val="32"/>
        </w:rPr>
        <w:t>六、建议及整改措施</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_Toc20743 </w:instrText>
      </w:r>
      <w:r>
        <w:rPr>
          <w:rFonts w:hint="eastAsia" w:hAnsi="仿宋" w:cs="仿宋"/>
          <w:b w:val="0"/>
          <w:bCs/>
          <w:sz w:val="32"/>
          <w:szCs w:val="32"/>
        </w:rPr>
        <w:fldChar w:fldCharType="separate"/>
      </w:r>
      <w:r>
        <w:rPr>
          <w:rFonts w:hint="eastAsia" w:hAnsi="仿宋" w:cs="仿宋"/>
          <w:b w:val="0"/>
          <w:bCs/>
          <w:sz w:val="32"/>
          <w:szCs w:val="32"/>
        </w:rPr>
        <w:t>13</w:t>
      </w:r>
      <w:r>
        <w:rPr>
          <w:rFonts w:hint="eastAsia" w:hAnsi="仿宋" w:cs="仿宋"/>
          <w:b w:val="0"/>
          <w:bCs/>
          <w:sz w:val="32"/>
          <w:szCs w:val="32"/>
        </w:rPr>
        <w:fldChar w:fldCharType="end"/>
      </w:r>
      <w:r>
        <w:rPr>
          <w:rFonts w:hint="eastAsia" w:hAnsi="仿宋" w:cs="仿宋"/>
          <w:b w:val="0"/>
          <w:bCs/>
          <w:sz w:val="32"/>
          <w:szCs w:val="32"/>
        </w:rPr>
        <w:fldChar w:fldCharType="end"/>
      </w:r>
    </w:p>
    <w:p>
      <w:pPr>
        <w:pStyle w:val="10"/>
        <w:tabs>
          <w:tab w:val="right" w:leader="dot" w:pos="9072"/>
          <w:tab w:val="clear" w:pos="8608"/>
        </w:tabs>
        <w:spacing w:line="360" w:lineRule="auto"/>
      </w:pPr>
      <w:r>
        <w:fldChar w:fldCharType="begin"/>
      </w:r>
      <w:r>
        <w:instrText xml:space="preserve"> HYPERLINK \l "_Toc22755" </w:instrText>
      </w:r>
      <w:r>
        <w:fldChar w:fldCharType="separate"/>
      </w:r>
      <w:r>
        <w:rPr>
          <w:rFonts w:hint="eastAsia" w:hAnsi="仿宋" w:cs="仿宋"/>
          <w:b w:val="0"/>
          <w:bCs/>
          <w:sz w:val="32"/>
          <w:szCs w:val="32"/>
        </w:rPr>
        <w:t>七、附件</w:t>
      </w:r>
      <w:r>
        <w:rPr>
          <w:rFonts w:hint="eastAsia" w:hAnsi="仿宋" w:cs="仿宋"/>
          <w:b w:val="0"/>
          <w:bCs/>
          <w:sz w:val="32"/>
          <w:szCs w:val="32"/>
        </w:rPr>
        <w:tab/>
      </w:r>
      <w:r>
        <w:rPr>
          <w:rFonts w:hint="eastAsia" w:hAnsi="仿宋" w:cs="仿宋"/>
          <w:b w:val="0"/>
          <w:bCs/>
          <w:sz w:val="32"/>
          <w:szCs w:val="32"/>
        </w:rPr>
        <w:fldChar w:fldCharType="begin"/>
      </w:r>
      <w:r>
        <w:rPr>
          <w:rFonts w:hint="eastAsia" w:hAnsi="仿宋" w:cs="仿宋"/>
          <w:b w:val="0"/>
          <w:bCs/>
          <w:sz w:val="32"/>
          <w:szCs w:val="32"/>
        </w:rPr>
        <w:instrText xml:space="preserve"> PAGEREF _Toc22755 </w:instrText>
      </w:r>
      <w:r>
        <w:rPr>
          <w:rFonts w:hint="eastAsia" w:hAnsi="仿宋" w:cs="仿宋"/>
          <w:b w:val="0"/>
          <w:bCs/>
          <w:sz w:val="32"/>
          <w:szCs w:val="32"/>
        </w:rPr>
        <w:fldChar w:fldCharType="separate"/>
      </w:r>
      <w:r>
        <w:rPr>
          <w:rFonts w:hint="eastAsia" w:hAnsi="仿宋" w:cs="仿宋"/>
          <w:b w:val="0"/>
          <w:bCs/>
          <w:sz w:val="32"/>
          <w:szCs w:val="32"/>
        </w:rPr>
        <w:t>15</w:t>
      </w:r>
      <w:r>
        <w:rPr>
          <w:rFonts w:hint="eastAsia" w:hAnsi="仿宋" w:cs="仿宋"/>
          <w:b w:val="0"/>
          <w:bCs/>
          <w:sz w:val="32"/>
          <w:szCs w:val="32"/>
        </w:rPr>
        <w:fldChar w:fldCharType="end"/>
      </w:r>
      <w:r>
        <w:rPr>
          <w:rFonts w:hint="eastAsia" w:hAnsi="仿宋" w:cs="仿宋"/>
          <w:b w:val="0"/>
          <w:bCs/>
          <w:sz w:val="32"/>
          <w:szCs w:val="32"/>
        </w:rPr>
        <w:fldChar w:fldCharType="end"/>
      </w:r>
    </w:p>
    <w:p>
      <w:pPr>
        <w:tabs>
          <w:tab w:val="right" w:leader="dot" w:pos="8222"/>
        </w:tabs>
        <w:spacing w:line="360" w:lineRule="auto"/>
        <w:jc w:val="distribute"/>
        <w:rPr>
          <w:rFonts w:ascii="仿宋_GB2312" w:eastAsia="仿宋_GB2312"/>
          <w:sz w:val="32"/>
          <w:szCs w:val="32"/>
        </w:rPr>
      </w:pPr>
      <w:r>
        <w:rPr>
          <w:rFonts w:hint="eastAsia" w:ascii="仿宋_GB2312" w:eastAsia="仿宋_GB2312"/>
          <w:szCs w:val="32"/>
        </w:rPr>
        <w:fldChar w:fldCharType="end"/>
      </w:r>
    </w:p>
    <w:p>
      <w:pPr>
        <w:tabs>
          <w:tab w:val="right" w:leader="dot" w:pos="8222"/>
        </w:tabs>
        <w:spacing w:line="360" w:lineRule="auto"/>
        <w:rPr>
          <w:rFonts w:ascii="仿宋_GB2312" w:eastAsia="仿宋_GB2312"/>
          <w:sz w:val="32"/>
          <w:szCs w:val="32"/>
        </w:rPr>
        <w:sectPr>
          <w:footerReference r:id="rId3" w:type="first"/>
          <w:pgSz w:w="11906" w:h="16838"/>
          <w:pgMar w:top="1440" w:right="1417" w:bottom="1440" w:left="1417" w:header="851" w:footer="992" w:gutter="0"/>
          <w:cols w:space="0" w:num="1"/>
          <w:titlePg/>
          <w:docGrid w:linePitch="312" w:charSpace="0"/>
        </w:sectPr>
      </w:pPr>
    </w:p>
    <w:p>
      <w:pPr>
        <w:jc w:val="center"/>
        <w:rPr>
          <w:rFonts w:ascii="宋体" w:hAnsi="宋体"/>
          <w:b/>
          <w:snapToGrid w:val="0"/>
          <w:kern w:val="0"/>
          <w:sz w:val="40"/>
          <w:szCs w:val="40"/>
        </w:rPr>
      </w:pPr>
      <w:r>
        <w:rPr>
          <w:rFonts w:hint="eastAsia" w:ascii="宋体" w:hAnsi="宋体"/>
          <w:b/>
          <w:snapToGrid w:val="0"/>
          <w:kern w:val="0"/>
          <w:sz w:val="40"/>
          <w:szCs w:val="40"/>
        </w:rPr>
        <w:t>香河县城乡居民医疗保险管理中心</w:t>
      </w:r>
    </w:p>
    <w:p>
      <w:pPr>
        <w:jc w:val="center"/>
        <w:rPr>
          <w:rFonts w:ascii="宋体" w:hAnsi="宋体"/>
          <w:b/>
          <w:snapToGrid w:val="0"/>
          <w:kern w:val="0"/>
          <w:sz w:val="40"/>
          <w:szCs w:val="40"/>
        </w:rPr>
      </w:pPr>
      <w:r>
        <w:rPr>
          <w:rFonts w:hint="eastAsia" w:ascii="宋体" w:hAnsi="宋体"/>
          <w:b/>
          <w:snapToGrid w:val="0"/>
          <w:kern w:val="0"/>
          <w:sz w:val="40"/>
          <w:szCs w:val="40"/>
        </w:rPr>
        <w:t>城乡居民医疗保险县级补助资金项目</w:t>
      </w:r>
    </w:p>
    <w:p>
      <w:pPr>
        <w:jc w:val="center"/>
        <w:rPr>
          <w:rFonts w:ascii="宋体" w:hAnsi="宋体"/>
          <w:b/>
          <w:snapToGrid w:val="0"/>
          <w:kern w:val="0"/>
          <w:sz w:val="44"/>
          <w:szCs w:val="44"/>
        </w:rPr>
      </w:pPr>
      <w:r>
        <w:rPr>
          <w:rFonts w:hint="eastAsia" w:ascii="宋体" w:hAnsi="宋体"/>
          <w:b/>
          <w:snapToGrid w:val="0"/>
          <w:kern w:val="0"/>
          <w:sz w:val="40"/>
          <w:szCs w:val="40"/>
        </w:rPr>
        <w:t>绩效评价报告</w:t>
      </w:r>
    </w:p>
    <w:p>
      <w:pPr>
        <w:jc w:val="center"/>
        <w:rPr>
          <w:rFonts w:ascii="仿宋_GB2312" w:hAnsi="宋体" w:eastAsia="仿宋_GB2312"/>
          <w:b/>
          <w:snapToGrid w:val="0"/>
          <w:kern w:val="0"/>
          <w:sz w:val="44"/>
          <w:szCs w:val="44"/>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为进一步提高财政支出管理水平，检验财政支出预期目标实现程度，考核财政支出效率和综合效果，为以后年度财政资金安排提供重要依据，根据重点项目绩效评价管理办法等文件规定，河北省廊坊市香河县财政局（以下简称县财政局）成立绩效评价工作组，对“城乡居民医疗保险县级补助资金”项目的绩效情况实施评价，形成本绩效评价报告</w:t>
      </w:r>
      <w:bookmarkStart w:id="1" w:name="_Toc365968747"/>
      <w:r>
        <w:rPr>
          <w:rFonts w:hint="eastAsia" w:ascii="仿宋_GB2312" w:eastAsia="仿宋_GB2312"/>
          <w:sz w:val="32"/>
          <w:szCs w:val="32"/>
        </w:rPr>
        <w:t>。</w:t>
      </w:r>
    </w:p>
    <w:p>
      <w:pPr>
        <w:pStyle w:val="2"/>
        <w:spacing w:line="360" w:lineRule="auto"/>
        <w:ind w:left="0" w:firstLine="835" w:firstLineChars="260"/>
      </w:pPr>
      <w:bookmarkStart w:id="2" w:name="_Toc426226402"/>
      <w:bookmarkStart w:id="3" w:name="_Toc426246473"/>
      <w:bookmarkStart w:id="4" w:name="_Toc15332"/>
      <w:r>
        <w:rPr>
          <w:rFonts w:hint="eastAsia"/>
        </w:rPr>
        <w:t>一、项目概述</w:t>
      </w:r>
      <w:bookmarkEnd w:id="1"/>
      <w:bookmarkEnd w:id="2"/>
      <w:bookmarkEnd w:id="3"/>
      <w:bookmarkEnd w:id="4"/>
    </w:p>
    <w:p>
      <w:pPr>
        <w:pStyle w:val="3"/>
        <w:spacing w:line="360" w:lineRule="auto"/>
        <w:ind w:firstLine="643"/>
        <w:rPr>
          <w:rFonts w:ascii="仿宋_GB2312"/>
          <w:b/>
          <w:highlight w:val="none"/>
        </w:rPr>
      </w:pPr>
      <w:bookmarkStart w:id="5" w:name="_Toc426246474"/>
      <w:bookmarkStart w:id="6" w:name="_Toc14107"/>
      <w:bookmarkStart w:id="7" w:name="_Toc426226403"/>
      <w:bookmarkStart w:id="8" w:name="_Toc365968748"/>
      <w:r>
        <w:rPr>
          <w:rFonts w:hint="eastAsia" w:ascii="仿宋_GB2312"/>
          <w:b/>
          <w:highlight w:val="none"/>
        </w:rPr>
        <w:t>（一）项目概况</w:t>
      </w:r>
      <w:bookmarkEnd w:id="5"/>
      <w:bookmarkEnd w:id="6"/>
      <w:bookmarkEnd w:id="7"/>
      <w:bookmarkEnd w:id="8"/>
    </w:p>
    <w:p>
      <w:pPr>
        <w:spacing w:line="360" w:lineRule="auto"/>
        <w:ind w:firstLine="616" w:firstLineChars="200"/>
        <w:rPr>
          <w:rFonts w:hint="eastAsia" w:ascii="仿宋_GB2312" w:hAnsi="Times New Roman" w:eastAsia="仿宋_GB2312"/>
          <w:spacing w:val="-6"/>
          <w:sz w:val="32"/>
          <w:szCs w:val="32"/>
          <w:lang w:eastAsia="zh-CN"/>
        </w:rPr>
      </w:pPr>
      <w:bookmarkStart w:id="9" w:name="_Toc426226404"/>
      <w:bookmarkStart w:id="10" w:name="_Toc365968749"/>
      <w:r>
        <w:rPr>
          <w:rFonts w:hint="eastAsia" w:ascii="仿宋_GB2312" w:hAnsi="Times New Roman" w:eastAsia="仿宋_GB2312"/>
          <w:spacing w:val="-6"/>
          <w:sz w:val="32"/>
          <w:szCs w:val="32"/>
        </w:rPr>
        <w:t>香河县城乡居民医疗保险管理中心（以下简称“</w:t>
      </w:r>
      <w:r>
        <w:rPr>
          <w:rFonts w:hint="eastAsia" w:ascii="仿宋_GB2312" w:hAnsi="Times New Roman" w:eastAsia="仿宋_GB2312"/>
          <w:spacing w:val="-6"/>
          <w:sz w:val="32"/>
          <w:szCs w:val="32"/>
          <w:lang w:val="en-US" w:eastAsia="zh-CN"/>
        </w:rPr>
        <w:t>县医管中心</w:t>
      </w:r>
      <w:r>
        <w:rPr>
          <w:rFonts w:hint="eastAsia" w:ascii="仿宋_GB2312" w:hAnsi="Times New Roman" w:eastAsia="仿宋_GB2312"/>
          <w:spacing w:val="-6"/>
          <w:sz w:val="32"/>
          <w:szCs w:val="32"/>
        </w:rPr>
        <w:t>”）隶属于香河县医疗保障局，为财政全额拨款事业单位。主要职责是：负责全县参保城乡居民医疗保险费的收缴；负责全县参保城乡居民定点医疗机构门诊、住院费用的收缴；负责全县参保城乡居民域外住院费用的审核、报销；负责全县参保城乡居民基本医疗保险基金的管理、会计核算。</w:t>
      </w:r>
      <w:r>
        <w:rPr>
          <w:rFonts w:hint="eastAsia" w:ascii="仿宋_GB2312" w:hAnsi="Times New Roman" w:eastAsia="仿宋_GB2312"/>
          <w:spacing w:val="-6"/>
          <w:sz w:val="32"/>
          <w:szCs w:val="32"/>
          <w:lang w:val="en-US" w:eastAsia="zh-CN"/>
        </w:rPr>
        <w:t>县医管中心</w:t>
      </w:r>
      <w:r>
        <w:rPr>
          <w:rFonts w:hint="eastAsia" w:ascii="仿宋_GB2312" w:hAnsi="Times New Roman" w:eastAsia="仿宋_GB2312"/>
          <w:spacing w:val="-6"/>
          <w:sz w:val="32"/>
          <w:szCs w:val="32"/>
        </w:rPr>
        <w:t>根据《</w:t>
      </w:r>
      <w:r>
        <w:rPr>
          <w:rFonts w:hint="eastAsia" w:ascii="仿宋_GB2312" w:hAnsi="Times New Roman" w:eastAsia="仿宋_GB2312"/>
          <w:spacing w:val="-6"/>
          <w:sz w:val="32"/>
          <w:szCs w:val="32"/>
          <w:lang w:val="en-US" w:eastAsia="zh-CN"/>
        </w:rPr>
        <w:t>廊坊市城乡居民医疗保险文件汇编</w:t>
      </w:r>
      <w:r>
        <w:rPr>
          <w:rFonts w:hint="eastAsia" w:ascii="仿宋_GB2312" w:hAnsi="Times New Roman" w:eastAsia="仿宋_GB2312"/>
          <w:spacing w:val="-6"/>
          <w:sz w:val="32"/>
          <w:szCs w:val="32"/>
        </w:rPr>
        <w:t>》</w:t>
      </w:r>
      <w:r>
        <w:rPr>
          <w:rFonts w:hint="eastAsia" w:ascii="仿宋_GB2312" w:hAnsi="Times New Roman" w:eastAsia="仿宋_GB2312"/>
          <w:spacing w:val="-6"/>
          <w:sz w:val="32"/>
          <w:szCs w:val="32"/>
          <w:lang w:val="en-US" w:eastAsia="zh-CN"/>
        </w:rPr>
        <w:t>中“</w:t>
      </w:r>
      <w:r>
        <w:rPr>
          <w:rFonts w:hint="eastAsia" w:ascii="仿宋" w:hAnsi="仿宋" w:eastAsia="仿宋"/>
          <w:sz w:val="32"/>
          <w:szCs w:val="32"/>
          <w:lang w:eastAsia="zh-CN"/>
        </w:rPr>
        <w:t>城乡居民医保实行个人缴费和政府补助相结合的筹资方式</w:t>
      </w:r>
      <w:r>
        <w:rPr>
          <w:rFonts w:hint="eastAsia" w:ascii="仿宋_GB2312" w:hAnsi="Times New Roman" w:eastAsia="仿宋_GB2312"/>
          <w:spacing w:val="-6"/>
          <w:sz w:val="32"/>
          <w:szCs w:val="32"/>
          <w:lang w:val="en-US" w:eastAsia="zh-CN"/>
        </w:rPr>
        <w:t>”等</w:t>
      </w:r>
      <w:r>
        <w:rPr>
          <w:rFonts w:hint="eastAsia" w:ascii="仿宋_GB2312" w:hAnsi="Times New Roman" w:eastAsia="仿宋_GB2312"/>
          <w:spacing w:val="-6"/>
          <w:sz w:val="32"/>
          <w:szCs w:val="32"/>
        </w:rPr>
        <w:t>文件精神，开展</w:t>
      </w:r>
      <w:r>
        <w:rPr>
          <w:rFonts w:hint="eastAsia" w:ascii="仿宋_GB2312" w:hAnsi="Times New Roman" w:eastAsia="仿宋_GB2312"/>
          <w:spacing w:val="-6"/>
          <w:sz w:val="32"/>
          <w:szCs w:val="32"/>
          <w:lang w:val="en-US" w:eastAsia="zh-CN"/>
        </w:rPr>
        <w:t>筹集城乡居民医疗保险县级补助资金项目</w:t>
      </w:r>
      <w:r>
        <w:rPr>
          <w:rFonts w:hint="eastAsia" w:ascii="仿宋_GB2312" w:hAnsi="Times New Roman" w:eastAsia="仿宋_GB2312"/>
          <w:spacing w:val="-6"/>
          <w:sz w:val="32"/>
          <w:szCs w:val="32"/>
        </w:rPr>
        <w:t>，</w:t>
      </w:r>
      <w:r>
        <w:rPr>
          <w:rFonts w:hint="eastAsia" w:ascii="仿宋_GB2312" w:hAnsi="Times New Roman" w:eastAsia="仿宋_GB2312"/>
          <w:spacing w:val="-6"/>
          <w:sz w:val="32"/>
          <w:szCs w:val="32"/>
          <w:lang w:val="en-US" w:eastAsia="zh-CN"/>
        </w:rPr>
        <w:t>促使</w:t>
      </w:r>
      <w:r>
        <w:rPr>
          <w:rFonts w:hint="eastAsia" w:ascii="仿宋_GB2312" w:hAnsi="Times New Roman" w:eastAsia="仿宋_GB2312"/>
          <w:spacing w:val="-6"/>
          <w:sz w:val="32"/>
          <w:szCs w:val="32"/>
        </w:rPr>
        <w:t>城乡居民医疗保险工作顺利开展</w:t>
      </w:r>
      <w:r>
        <w:rPr>
          <w:rFonts w:hint="eastAsia" w:ascii="仿宋_GB2312" w:hAnsi="Times New Roman" w:eastAsia="仿宋_GB2312"/>
          <w:spacing w:val="-6"/>
          <w:sz w:val="32"/>
          <w:szCs w:val="32"/>
          <w:lang w:eastAsia="zh-CN"/>
        </w:rPr>
        <w:t>，</w:t>
      </w:r>
      <w:r>
        <w:rPr>
          <w:rFonts w:hint="eastAsia" w:ascii="仿宋_GB2312" w:hAnsi="Times New Roman" w:eastAsia="仿宋_GB2312"/>
          <w:spacing w:val="-6"/>
          <w:sz w:val="32"/>
          <w:szCs w:val="32"/>
          <w:lang w:val="en-US" w:eastAsia="zh-CN"/>
        </w:rPr>
        <w:t>提高城乡居民参保率</w:t>
      </w:r>
      <w:r>
        <w:rPr>
          <w:rFonts w:hint="eastAsia" w:ascii="仿宋_GB2312" w:hAnsi="Times New Roman" w:eastAsia="仿宋_GB2312"/>
          <w:spacing w:val="-6"/>
          <w:sz w:val="32"/>
          <w:szCs w:val="32"/>
        </w:rPr>
        <w:t>。</w:t>
      </w:r>
      <w:r>
        <w:rPr>
          <w:rFonts w:hint="eastAsia" w:ascii="仿宋_GB2312" w:hAnsi="Times New Roman" w:eastAsia="仿宋_GB2312"/>
          <w:spacing w:val="-6"/>
          <w:sz w:val="32"/>
          <w:szCs w:val="32"/>
          <w:lang w:val="en-US" w:eastAsia="zh-CN"/>
        </w:rPr>
        <w:t>从2017年度起，全市城乡居民执行统一的个人缴费标准和财政补助标准，根据廊坊市医疗保障局的要求，2019年度城乡居民医疗保险各级财政补助每人每年提高到520元，其中中央财政补助300元/人、省级财政补助110元/人、县级财政补助110元/人，实施2019年度</w:t>
      </w:r>
      <w:r>
        <w:rPr>
          <w:rFonts w:hint="eastAsia" w:ascii="仿宋_GB2312" w:hAnsi="Times New Roman" w:eastAsia="仿宋_GB2312"/>
          <w:spacing w:val="-6"/>
          <w:sz w:val="32"/>
          <w:szCs w:val="32"/>
        </w:rPr>
        <w:t>城乡居民医疗保险县级补助资金项目</w:t>
      </w:r>
      <w:r>
        <w:rPr>
          <w:rFonts w:hint="eastAsia" w:ascii="仿宋_GB2312" w:hAnsi="仿宋" w:eastAsia="仿宋_GB2312"/>
          <w:sz w:val="32"/>
          <w:szCs w:val="32"/>
          <w:lang w:eastAsia="zh-CN"/>
        </w:rPr>
        <w:t>。</w:t>
      </w:r>
    </w:p>
    <w:p>
      <w:pPr>
        <w:spacing w:line="360" w:lineRule="auto"/>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项目实施内容包括：</w:t>
      </w:r>
      <w:bookmarkEnd w:id="9"/>
      <w:r>
        <w:rPr>
          <w:rFonts w:hint="eastAsia" w:ascii="仿宋_GB2312" w:hAnsi="Times New Roman" w:eastAsia="仿宋_GB2312" w:cs="仿宋_GB2312"/>
          <w:sz w:val="32"/>
          <w:szCs w:val="32"/>
          <w:lang w:val="en-US" w:eastAsia="zh-CN"/>
        </w:rPr>
        <w:t>该项目为按照</w:t>
      </w:r>
      <w:r>
        <w:rPr>
          <w:rFonts w:hint="eastAsia" w:ascii="仿宋_GB2312" w:hAnsi="Times New Roman" w:eastAsia="仿宋_GB2312"/>
          <w:spacing w:val="-6"/>
          <w:sz w:val="32"/>
          <w:szCs w:val="32"/>
          <w:lang w:val="en-US" w:eastAsia="zh-CN"/>
        </w:rPr>
        <w:t>县级财政补助110元/人标准，</w:t>
      </w:r>
      <w:r>
        <w:rPr>
          <w:rFonts w:hint="eastAsia" w:ascii="仿宋_GB2312" w:hAnsi="Times New Roman" w:eastAsia="仿宋_GB2312" w:cs="仿宋_GB2312"/>
          <w:sz w:val="32"/>
          <w:szCs w:val="32"/>
          <w:lang w:val="en-US" w:eastAsia="zh-CN"/>
        </w:rPr>
        <w:t>收缴</w:t>
      </w:r>
      <w:r>
        <w:rPr>
          <w:rFonts w:hint="eastAsia" w:ascii="仿宋_GB2312" w:hAnsi="Times New Roman" w:eastAsia="仿宋_GB2312" w:cs="仿宋_GB2312"/>
          <w:sz w:val="32"/>
          <w:szCs w:val="32"/>
        </w:rPr>
        <w:t>城乡居民医疗保险县级补助，保障城乡居民医疗保险基金的筹集。</w:t>
      </w:r>
    </w:p>
    <w:p>
      <w:pPr>
        <w:pStyle w:val="3"/>
        <w:spacing w:line="360" w:lineRule="auto"/>
        <w:ind w:firstLine="643"/>
        <w:rPr>
          <w:rFonts w:ascii="仿宋_GB2312"/>
          <w:b/>
        </w:rPr>
      </w:pPr>
      <w:bookmarkStart w:id="11" w:name="_Toc426226405"/>
      <w:bookmarkStart w:id="12" w:name="_Toc426246475"/>
      <w:bookmarkStart w:id="13" w:name="_Toc18068"/>
      <w:r>
        <w:rPr>
          <w:rFonts w:hint="eastAsia" w:ascii="仿宋_GB2312"/>
          <w:b/>
        </w:rPr>
        <w:t>（二）项目资金</w:t>
      </w:r>
      <w:bookmarkEnd w:id="10"/>
      <w:bookmarkEnd w:id="11"/>
      <w:bookmarkEnd w:id="12"/>
      <w:r>
        <w:rPr>
          <w:rFonts w:hint="eastAsia" w:ascii="仿宋_GB2312"/>
          <w:b/>
        </w:rPr>
        <w:t>细化分配情况</w:t>
      </w:r>
      <w:bookmarkEnd w:id="13"/>
    </w:p>
    <w:p>
      <w:pPr>
        <w:spacing w:line="360" w:lineRule="auto"/>
        <w:ind w:firstLine="640" w:firstLineChars="200"/>
        <w:rPr>
          <w:rFonts w:ascii="仿宋_GB2312" w:hAnsi="宋体" w:eastAsia="仿宋_GB2312"/>
          <w:sz w:val="32"/>
          <w:szCs w:val="32"/>
        </w:rPr>
      </w:pPr>
      <w:bookmarkStart w:id="14" w:name="_Toc426226406"/>
      <w:bookmarkStart w:id="15" w:name="_Toc365968750"/>
      <w:r>
        <w:rPr>
          <w:rFonts w:hint="eastAsia" w:ascii="仿宋_GB2312" w:hAnsi="宋体" w:eastAsia="仿宋_GB2312"/>
          <w:sz w:val="32"/>
          <w:szCs w:val="32"/>
        </w:rPr>
        <w:t>项目批复资金</w:t>
      </w:r>
      <w:r>
        <w:rPr>
          <w:rFonts w:hint="eastAsia" w:ascii="仿宋_GB2312" w:hAnsi="宋体" w:eastAsia="仿宋_GB2312"/>
          <w:sz w:val="32"/>
          <w:szCs w:val="32"/>
          <w:lang w:val="en-US" w:eastAsia="zh-CN"/>
        </w:rPr>
        <w:t>3410.0000</w:t>
      </w:r>
      <w:r>
        <w:rPr>
          <w:rFonts w:hint="eastAsia" w:ascii="仿宋_GB2312" w:hAnsi="宋体" w:eastAsia="仿宋_GB2312"/>
          <w:sz w:val="32"/>
          <w:szCs w:val="32"/>
        </w:rPr>
        <w:t>万元，截至201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年12月31日，项目资金实际到位</w:t>
      </w:r>
      <w:r>
        <w:rPr>
          <w:rFonts w:hint="eastAsia" w:ascii="仿宋_GB2312" w:hAnsi="宋体" w:eastAsia="仿宋_GB2312"/>
          <w:sz w:val="32"/>
          <w:szCs w:val="32"/>
          <w:lang w:val="en-US" w:eastAsia="zh-CN"/>
        </w:rPr>
        <w:t>3136.3446</w:t>
      </w:r>
      <w:r>
        <w:rPr>
          <w:rFonts w:hint="eastAsia" w:ascii="仿宋_GB2312" w:hAnsi="宋体" w:eastAsia="仿宋_GB2312"/>
          <w:sz w:val="32"/>
          <w:szCs w:val="32"/>
        </w:rPr>
        <w:t>万元，实际支出项目资金3136.3446万元，</w:t>
      </w:r>
      <w:r>
        <w:rPr>
          <w:rFonts w:hint="eastAsia" w:ascii="仿宋_GB2312" w:hAnsi="宋体" w:eastAsia="仿宋_GB2312"/>
          <w:sz w:val="32"/>
          <w:szCs w:val="32"/>
          <w:lang w:val="en-US" w:eastAsia="zh-CN"/>
        </w:rPr>
        <w:t>预算执行率91.97%，</w:t>
      </w:r>
      <w:r>
        <w:rPr>
          <w:rFonts w:hint="eastAsia" w:ascii="仿宋_GB2312" w:hAnsi="宋体" w:eastAsia="仿宋_GB2312"/>
          <w:sz w:val="32"/>
          <w:szCs w:val="32"/>
        </w:rPr>
        <w:t>资金使用率100%。</w:t>
      </w:r>
      <w:bookmarkEnd w:id="14"/>
      <w:bookmarkStart w:id="16" w:name="_Toc426226408"/>
    </w:p>
    <w:p>
      <w:pPr>
        <w:pStyle w:val="3"/>
        <w:numPr>
          <w:ilvl w:val="0"/>
          <w:numId w:val="1"/>
        </w:numPr>
        <w:spacing w:line="360" w:lineRule="auto"/>
        <w:ind w:firstLine="643"/>
        <w:rPr>
          <w:rFonts w:ascii="仿宋_GB2312"/>
          <w:b/>
        </w:rPr>
      </w:pPr>
      <w:bookmarkStart w:id="17" w:name="_Toc2621"/>
      <w:bookmarkStart w:id="18" w:name="_Toc426246476"/>
      <w:r>
        <w:rPr>
          <w:rFonts w:hint="eastAsia" w:ascii="仿宋_GB2312"/>
          <w:b/>
        </w:rPr>
        <w:t>项目政策依据</w:t>
      </w:r>
      <w:bookmarkEnd w:id="17"/>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lang w:eastAsia="zh-CN"/>
        </w:rPr>
        <w:t>县医管中心</w:t>
      </w:r>
      <w:r>
        <w:rPr>
          <w:rFonts w:hint="eastAsia" w:ascii="仿宋_GB2312" w:hAnsi="宋体" w:eastAsia="仿宋_GB2312"/>
          <w:sz w:val="32"/>
          <w:szCs w:val="32"/>
        </w:rPr>
        <w:t>根据《</w:t>
      </w:r>
      <w:r>
        <w:rPr>
          <w:rFonts w:hint="eastAsia" w:ascii="仿宋_GB2312" w:hAnsi="Times New Roman" w:eastAsia="仿宋_GB2312"/>
          <w:spacing w:val="-6"/>
          <w:sz w:val="32"/>
          <w:szCs w:val="32"/>
          <w:lang w:val="en-US" w:eastAsia="zh-CN"/>
        </w:rPr>
        <w:t>廊坊市城乡居民医疗保险文件汇编</w:t>
      </w:r>
      <w:r>
        <w:rPr>
          <w:rFonts w:hint="eastAsia" w:ascii="仿宋_GB2312" w:hAnsi="宋体" w:eastAsia="仿宋_GB2312"/>
          <w:sz w:val="32"/>
          <w:szCs w:val="32"/>
        </w:rPr>
        <w:t>》的文件精神，申请设立</w:t>
      </w:r>
      <w:r>
        <w:rPr>
          <w:rFonts w:hint="eastAsia" w:ascii="仿宋_GB2312" w:eastAsia="仿宋_GB2312"/>
          <w:sz w:val="32"/>
          <w:szCs w:val="32"/>
        </w:rPr>
        <w:t>城乡居民医疗保险县级补助资金</w:t>
      </w:r>
      <w:r>
        <w:rPr>
          <w:rFonts w:hint="eastAsia" w:ascii="仿宋_GB2312" w:hAnsi="宋体" w:eastAsia="仿宋_GB2312"/>
          <w:sz w:val="32"/>
          <w:szCs w:val="32"/>
        </w:rPr>
        <w:t>项目。</w:t>
      </w:r>
    </w:p>
    <w:p>
      <w:pPr>
        <w:pStyle w:val="3"/>
        <w:spacing w:line="360" w:lineRule="auto"/>
        <w:ind w:firstLine="643"/>
        <w:rPr>
          <w:rFonts w:ascii="仿宋_GB2312"/>
        </w:rPr>
      </w:pPr>
      <w:bookmarkStart w:id="19" w:name="_Toc18615"/>
      <w:r>
        <w:rPr>
          <w:rFonts w:hint="eastAsia" w:ascii="仿宋_GB2312"/>
          <w:b/>
        </w:rPr>
        <w:t>（四）项目绩效目标</w:t>
      </w:r>
      <w:bookmarkEnd w:id="15"/>
      <w:bookmarkEnd w:id="16"/>
      <w:bookmarkEnd w:id="18"/>
      <w:bookmarkEnd w:id="19"/>
    </w:p>
    <w:p>
      <w:pPr>
        <w:spacing w:line="360" w:lineRule="auto"/>
        <w:ind w:firstLine="640" w:firstLineChars="200"/>
        <w:rPr>
          <w:rFonts w:ascii="仿宋_GB2312" w:hAnsi="宋体" w:eastAsia="仿宋_GB2312"/>
          <w:sz w:val="32"/>
          <w:szCs w:val="32"/>
        </w:rPr>
      </w:pPr>
      <w:bookmarkStart w:id="20" w:name="_Toc426226409"/>
      <w:r>
        <w:rPr>
          <w:rFonts w:hint="eastAsia" w:ascii="仿宋_GB2312" w:hAnsi="宋体" w:eastAsia="仿宋_GB2312"/>
          <w:sz w:val="32"/>
          <w:szCs w:val="32"/>
        </w:rPr>
        <w:t>1.绩效总体目标</w:t>
      </w:r>
      <w:bookmarkEnd w:id="20"/>
    </w:p>
    <w:p>
      <w:pPr>
        <w:spacing w:line="360" w:lineRule="auto"/>
        <w:ind w:firstLine="640" w:firstLineChars="200"/>
        <w:rPr>
          <w:rFonts w:ascii="仿宋_GB2312" w:hAnsi="宋体" w:eastAsia="仿宋_GB2312"/>
          <w:sz w:val="32"/>
          <w:szCs w:val="32"/>
        </w:rPr>
      </w:pPr>
      <w:bookmarkStart w:id="21" w:name="_Toc426226411"/>
      <w:r>
        <w:rPr>
          <w:rFonts w:hint="eastAsia" w:ascii="仿宋_GB2312" w:hAnsi="宋体" w:eastAsia="仿宋_GB2312"/>
          <w:sz w:val="32"/>
          <w:szCs w:val="32"/>
        </w:rPr>
        <w:t>通过项目的开展完成城乡居民医疗保险基金筹集，实现城乡居民医疗保险工作顺利开展。</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2.阶段性目标</w:t>
      </w:r>
      <w:bookmarkEnd w:id="21"/>
    </w:p>
    <w:p>
      <w:pPr>
        <w:pStyle w:val="32"/>
        <w:spacing w:line="360" w:lineRule="auto"/>
        <w:ind w:firstLine="640"/>
        <w:rPr>
          <w:rFonts w:ascii="仿宋_GB2312" w:hAnsi="宋体" w:cs="黑体"/>
          <w:b w:val="0"/>
          <w:bCs w:val="0"/>
          <w:sz w:val="32"/>
          <w:szCs w:val="32"/>
        </w:rPr>
      </w:pPr>
      <w:bookmarkStart w:id="22" w:name="_Toc365968751"/>
      <w:r>
        <w:rPr>
          <w:rFonts w:hint="eastAsia" w:ascii="仿宋_GB2312" w:hAnsi="宋体" w:cs="黑体"/>
          <w:b w:val="0"/>
          <w:bCs w:val="0"/>
          <w:sz w:val="32"/>
          <w:szCs w:val="32"/>
        </w:rPr>
        <w:t>201</w:t>
      </w:r>
      <w:r>
        <w:rPr>
          <w:rFonts w:hint="eastAsia" w:ascii="仿宋_GB2312" w:hAnsi="宋体" w:cs="黑体"/>
          <w:b w:val="0"/>
          <w:bCs w:val="0"/>
          <w:sz w:val="32"/>
          <w:szCs w:val="32"/>
          <w:lang w:val="en-US" w:eastAsia="zh-CN"/>
        </w:rPr>
        <w:t>9</w:t>
      </w:r>
      <w:r>
        <w:rPr>
          <w:rFonts w:hint="eastAsia" w:ascii="仿宋_GB2312" w:hAnsi="宋体" w:cs="黑体"/>
          <w:b w:val="0"/>
          <w:bCs w:val="0"/>
          <w:sz w:val="32"/>
          <w:szCs w:val="32"/>
        </w:rPr>
        <w:t>年</w:t>
      </w:r>
      <w:r>
        <w:rPr>
          <w:rFonts w:hint="eastAsia" w:ascii="仿宋_GB2312" w:hAnsi="宋体" w:cs="黑体"/>
          <w:b w:val="0"/>
          <w:bCs w:val="0"/>
          <w:sz w:val="32"/>
          <w:szCs w:val="32"/>
          <w:lang w:val="en-US" w:eastAsia="zh-CN"/>
        </w:rPr>
        <w:t>9</w:t>
      </w:r>
      <w:r>
        <w:rPr>
          <w:rFonts w:hint="eastAsia" w:ascii="仿宋_GB2312" w:hAnsi="宋体" w:cs="黑体"/>
          <w:b w:val="0"/>
          <w:bCs w:val="0"/>
          <w:sz w:val="32"/>
          <w:szCs w:val="32"/>
        </w:rPr>
        <w:t>月</w:t>
      </w:r>
      <w:r>
        <w:rPr>
          <w:rFonts w:hint="eastAsia" w:ascii="仿宋_GB2312" w:hAnsi="宋体" w:cs="黑体"/>
          <w:b w:val="0"/>
          <w:bCs w:val="0"/>
          <w:sz w:val="32"/>
          <w:szCs w:val="32"/>
          <w:lang w:val="en-US" w:eastAsia="zh-CN"/>
        </w:rPr>
        <w:t>前</w:t>
      </w:r>
      <w:r>
        <w:rPr>
          <w:rFonts w:hint="eastAsia" w:ascii="仿宋_GB2312" w:hAnsi="宋体" w:cs="黑体"/>
          <w:b w:val="0"/>
          <w:bCs w:val="0"/>
          <w:sz w:val="32"/>
          <w:szCs w:val="32"/>
        </w:rPr>
        <w:t>，</w:t>
      </w:r>
      <w:r>
        <w:rPr>
          <w:rFonts w:hint="eastAsia" w:ascii="仿宋_GB2312" w:hAnsi="宋体" w:cs="黑体"/>
          <w:b w:val="0"/>
          <w:bCs w:val="0"/>
          <w:sz w:val="32"/>
          <w:szCs w:val="32"/>
          <w:lang w:val="en-US" w:eastAsia="zh-CN"/>
        </w:rPr>
        <w:t>将县级补助资金上缴至市级财政专户</w:t>
      </w:r>
      <w:r>
        <w:rPr>
          <w:rFonts w:hint="eastAsia" w:ascii="仿宋_GB2312" w:hAnsi="宋体" w:cs="黑体"/>
          <w:b w:val="0"/>
          <w:bCs w:val="0"/>
          <w:sz w:val="32"/>
          <w:szCs w:val="32"/>
        </w:rPr>
        <w:t>。</w:t>
      </w:r>
    </w:p>
    <w:bookmarkEnd w:id="0"/>
    <w:bookmarkEnd w:id="22"/>
    <w:p>
      <w:pPr>
        <w:pStyle w:val="2"/>
        <w:spacing w:line="360" w:lineRule="auto"/>
        <w:ind w:left="0" w:firstLine="643" w:firstLineChars="200"/>
      </w:pPr>
      <w:bookmarkStart w:id="23" w:name="_Toc426226415"/>
      <w:bookmarkStart w:id="24" w:name="_Toc426246477"/>
      <w:bookmarkStart w:id="25" w:name="_Toc4574"/>
      <w:bookmarkStart w:id="26" w:name="_Toc169183188"/>
      <w:bookmarkStart w:id="27" w:name="_Toc365968754"/>
      <w:r>
        <w:rPr>
          <w:rFonts w:hint="eastAsia"/>
        </w:rPr>
        <w:t>二、</w:t>
      </w:r>
      <w:bookmarkEnd w:id="23"/>
      <w:bookmarkEnd w:id="24"/>
      <w:r>
        <w:rPr>
          <w:rFonts w:hint="eastAsia"/>
        </w:rPr>
        <w:t>绩效评价工作开展情况</w:t>
      </w:r>
      <w:bookmarkEnd w:id="25"/>
      <w:r>
        <w:rPr>
          <w:rFonts w:hint="eastAsia"/>
        </w:rPr>
        <w:tab/>
      </w:r>
    </w:p>
    <w:p>
      <w:pPr>
        <w:pStyle w:val="3"/>
        <w:spacing w:line="360" w:lineRule="auto"/>
        <w:ind w:firstLine="643"/>
        <w:rPr>
          <w:rFonts w:ascii="仿宋_GB2312" w:hAnsi="Times New Roman"/>
          <w:b/>
        </w:rPr>
      </w:pPr>
      <w:bookmarkStart w:id="28" w:name="_Toc395951382"/>
      <w:bookmarkStart w:id="29" w:name="_Toc426246478"/>
      <w:bookmarkStart w:id="30" w:name="_Toc375717373"/>
      <w:bookmarkStart w:id="31" w:name="_Toc426226416"/>
      <w:bookmarkStart w:id="32" w:name="_Toc392997348"/>
      <w:bookmarkStart w:id="33" w:name="_Toc1496"/>
      <w:r>
        <w:rPr>
          <w:rFonts w:hint="eastAsia" w:ascii="仿宋_GB2312" w:hAnsi="Times New Roman"/>
          <w:b/>
        </w:rPr>
        <w:t>（一）</w:t>
      </w:r>
      <w:bookmarkEnd w:id="28"/>
      <w:bookmarkEnd w:id="29"/>
      <w:bookmarkEnd w:id="30"/>
      <w:bookmarkEnd w:id="31"/>
      <w:bookmarkEnd w:id="32"/>
      <w:r>
        <w:rPr>
          <w:rFonts w:hint="eastAsia" w:ascii="仿宋_GB2312" w:hAnsi="Times New Roman"/>
          <w:b/>
        </w:rPr>
        <w:t>绩效评价目标</w:t>
      </w:r>
      <w:bookmarkEnd w:id="33"/>
    </w:p>
    <w:p>
      <w:pPr>
        <w:adjustRightInd w:val="0"/>
        <w:spacing w:line="360" w:lineRule="auto"/>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1.绩效评价目标</w:t>
      </w:r>
    </w:p>
    <w:p>
      <w:pPr>
        <w:adjustRightInd w:val="0"/>
        <w:spacing w:line="360" w:lineRule="auto"/>
        <w:ind w:firstLine="640" w:firstLineChars="200"/>
        <w:rPr>
          <w:rFonts w:ascii="仿宋_GB2312" w:eastAsia="仿宋_GB2312"/>
          <w:sz w:val="32"/>
          <w:szCs w:val="32"/>
        </w:rPr>
      </w:pPr>
      <w:r>
        <w:rPr>
          <w:rFonts w:hint="eastAsia" w:ascii="仿宋_GB2312" w:hAnsi="仿宋" w:eastAsia="仿宋_GB2312" w:cs="仿宋"/>
          <w:sz w:val="32"/>
          <w:szCs w:val="32"/>
        </w:rPr>
        <w:t>通过绩效评价，衡量和考核</w:t>
      </w:r>
      <w:r>
        <w:rPr>
          <w:rFonts w:hint="eastAsia" w:ascii="仿宋_GB2312" w:hAnsi="仿宋" w:eastAsia="仿宋_GB2312" w:cs="仿宋"/>
          <w:sz w:val="32"/>
          <w:szCs w:val="32"/>
          <w:lang w:eastAsia="zh-CN"/>
        </w:rPr>
        <w:t>县医管中心</w:t>
      </w:r>
      <w:r>
        <w:rPr>
          <w:rFonts w:hint="eastAsia" w:ascii="仿宋_GB2312" w:hAnsi="仿宋" w:eastAsia="仿宋_GB2312" w:cs="仿宋"/>
          <w:sz w:val="32"/>
          <w:szCs w:val="32"/>
        </w:rPr>
        <w:t>的产出，对项目</w:t>
      </w:r>
      <w:r>
        <w:rPr>
          <w:rFonts w:hint="eastAsia" w:ascii="仿宋_GB2312" w:hAnsi="仿宋" w:eastAsia="仿宋_GB2312" w:cs="仿宋"/>
          <w:sz w:val="32"/>
          <w:szCs w:val="32"/>
          <w:lang w:val="en-US" w:eastAsia="zh-CN"/>
        </w:rPr>
        <w:t>决策</w:t>
      </w:r>
      <w:r>
        <w:rPr>
          <w:rFonts w:hint="eastAsia" w:ascii="仿宋_GB2312" w:hAnsi="仿宋" w:eastAsia="仿宋_GB2312" w:cs="仿宋"/>
          <w:sz w:val="32"/>
          <w:szCs w:val="32"/>
        </w:rPr>
        <w:t>、项目</w:t>
      </w:r>
      <w:r>
        <w:rPr>
          <w:rFonts w:hint="eastAsia" w:ascii="仿宋_GB2312" w:hAnsi="仿宋" w:eastAsia="仿宋_GB2312" w:cs="仿宋"/>
          <w:sz w:val="32"/>
          <w:szCs w:val="32"/>
          <w:lang w:val="en-US" w:eastAsia="zh-CN"/>
        </w:rPr>
        <w:t>管理</w:t>
      </w:r>
      <w:r>
        <w:rPr>
          <w:rFonts w:hint="eastAsia" w:ascii="仿宋_GB2312" w:hAnsi="仿宋" w:eastAsia="仿宋_GB2312" w:cs="仿宋"/>
          <w:sz w:val="32"/>
          <w:szCs w:val="32"/>
        </w:rPr>
        <w:t>、项目</w:t>
      </w:r>
      <w:r>
        <w:rPr>
          <w:rFonts w:hint="eastAsia" w:ascii="仿宋_GB2312" w:hAnsi="仿宋" w:eastAsia="仿宋_GB2312" w:cs="仿宋"/>
          <w:sz w:val="32"/>
          <w:szCs w:val="32"/>
          <w:lang w:val="en-US" w:eastAsia="zh-CN"/>
        </w:rPr>
        <w:t>绩效三</w:t>
      </w:r>
      <w:r>
        <w:rPr>
          <w:rFonts w:hint="eastAsia" w:ascii="仿宋_GB2312" w:hAnsi="仿宋" w:eastAsia="仿宋_GB2312" w:cs="仿宋"/>
          <w:sz w:val="32"/>
          <w:szCs w:val="32"/>
        </w:rPr>
        <w:t>方面进行评价，</w:t>
      </w:r>
      <w:r>
        <w:rPr>
          <w:rFonts w:hint="eastAsia" w:ascii="仿宋_GB2312" w:eastAsia="仿宋_GB2312" w:cs="仿宋_GB2312"/>
          <w:sz w:val="32"/>
          <w:szCs w:val="32"/>
        </w:rPr>
        <w:t>了解、分析、检验资金使用是否达到预期目标，资金管理是否规范，资金使用是否有效。通过总结经验，分析问题，采取切实措施进一步改进和加强财政支出项目管理，提高财政资金使用效益。</w:t>
      </w:r>
    </w:p>
    <w:p>
      <w:pPr>
        <w:adjustRightInd w:val="0"/>
        <w:spacing w:line="360" w:lineRule="auto"/>
        <w:ind w:firstLine="640" w:firstLineChars="200"/>
        <w:rPr>
          <w:rFonts w:ascii="仿宋_GB2312" w:eastAsia="仿宋_GB2312"/>
          <w:sz w:val="32"/>
          <w:szCs w:val="32"/>
        </w:rPr>
      </w:pPr>
      <w:r>
        <w:rPr>
          <w:rFonts w:hint="eastAsia" w:ascii="仿宋_GB2312" w:eastAsia="仿宋_GB2312" w:cs="仿宋_GB2312"/>
          <w:sz w:val="32"/>
          <w:szCs w:val="32"/>
        </w:rPr>
        <w:t>2.评价原则和方法</w:t>
      </w:r>
    </w:p>
    <w:p>
      <w:pPr>
        <w:adjustRightInd w:val="0"/>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本次评价工作遵循</w:t>
      </w:r>
      <w:r>
        <w:rPr>
          <w:rFonts w:hint="eastAsia" w:ascii="仿宋_GB2312" w:eastAsia="仿宋_GB2312"/>
          <w:sz w:val="32"/>
          <w:szCs w:val="32"/>
        </w:rPr>
        <w:t>“</w:t>
      </w:r>
      <w:r>
        <w:rPr>
          <w:rFonts w:hint="eastAsia" w:ascii="仿宋_GB2312" w:eastAsia="仿宋_GB2312" w:cs="仿宋_GB2312"/>
          <w:sz w:val="32"/>
          <w:szCs w:val="32"/>
        </w:rPr>
        <w:t>客观、公正、科学、规范</w:t>
      </w:r>
      <w:r>
        <w:rPr>
          <w:rFonts w:hint="eastAsia" w:ascii="仿宋_GB2312" w:eastAsia="仿宋_GB2312"/>
          <w:sz w:val="32"/>
          <w:szCs w:val="32"/>
        </w:rPr>
        <w:t>”</w:t>
      </w:r>
      <w:r>
        <w:rPr>
          <w:rFonts w:hint="eastAsia" w:ascii="仿宋_GB2312" w:eastAsia="仿宋_GB2312" w:cs="仿宋_GB2312"/>
          <w:sz w:val="32"/>
          <w:szCs w:val="32"/>
        </w:rPr>
        <w:t>的原则，通过对项目的经济性、效率性、效益性的比较和分析，考核支出效率和支出效果。结合本项目特点，在评价过程中主要采用非现场评价方式进行考评，评价方法主要采用比较法，即预定目标与实施效果进行分析比较的方法，进行定性分析和定量分析。</w:t>
      </w:r>
    </w:p>
    <w:p>
      <w:pPr>
        <w:pStyle w:val="3"/>
        <w:spacing w:line="360" w:lineRule="auto"/>
        <w:ind w:firstLine="643"/>
        <w:rPr>
          <w:rFonts w:ascii="仿宋_GB2312" w:hAnsi="Times New Roman" w:cs="仿宋_GB2312"/>
          <w:b/>
        </w:rPr>
      </w:pPr>
      <w:bookmarkStart w:id="34" w:name="_Toc25611"/>
      <w:bookmarkStart w:id="35" w:name="_Toc375717374"/>
      <w:bookmarkStart w:id="36" w:name="_Toc395951383"/>
      <w:bookmarkStart w:id="37" w:name="_Toc426226417"/>
      <w:bookmarkStart w:id="38" w:name="_Toc426246479"/>
      <w:bookmarkStart w:id="39" w:name="_Toc392997349"/>
      <w:r>
        <w:rPr>
          <w:rFonts w:hint="eastAsia" w:ascii="仿宋_GB2312" w:hAnsi="Times New Roman" w:cs="仿宋_GB2312"/>
          <w:b/>
        </w:rPr>
        <w:t>（二）绩效评价设计过程</w:t>
      </w:r>
      <w:bookmarkEnd w:id="34"/>
    </w:p>
    <w:p>
      <w:pPr>
        <w:spacing w:line="360" w:lineRule="auto"/>
        <w:ind w:firstLine="640" w:firstLineChars="200"/>
        <w:rPr>
          <w:rFonts w:ascii="仿宋_GB2312" w:hAnsi="Arial" w:eastAsia="仿宋_GB2312" w:cs="仿宋_GB2312"/>
          <w:sz w:val="32"/>
          <w:szCs w:val="32"/>
        </w:rPr>
      </w:pPr>
      <w:r>
        <w:rPr>
          <w:rFonts w:hint="eastAsia" w:ascii="仿宋_GB2312" w:hAnsi="Arial" w:eastAsia="仿宋_GB2312" w:cs="仿宋_GB2312"/>
          <w:sz w:val="32"/>
          <w:szCs w:val="32"/>
        </w:rPr>
        <w:t>通过与项目单位沟通，了解项目基本情况，确定绩效评价进场时间，为项目单位提供绩效评价资料清单，首次提供资料后，根据项目具体情况，确认补充资料清单。通过搜集的项目资料对项目的绩效目标展开评价并出具报告，与项目单位及财政再次沟通，最终定稿绩效评价报告。</w:t>
      </w:r>
    </w:p>
    <w:p>
      <w:pPr>
        <w:pStyle w:val="3"/>
        <w:spacing w:line="360" w:lineRule="auto"/>
        <w:ind w:firstLine="643"/>
        <w:rPr>
          <w:rFonts w:ascii="仿宋_GB2312" w:hAnsi="Times New Roman" w:cs="仿宋_GB2312"/>
          <w:b/>
        </w:rPr>
      </w:pPr>
      <w:bookmarkStart w:id="40" w:name="_Toc25021"/>
      <w:r>
        <w:rPr>
          <w:rFonts w:hint="eastAsia" w:ascii="仿宋_GB2312" w:hAnsi="Times New Roman" w:cs="仿宋_GB2312"/>
          <w:b/>
        </w:rPr>
        <w:t>（三）绩效评价框架</w:t>
      </w:r>
      <w:bookmarkEnd w:id="40"/>
    </w:p>
    <w:p>
      <w:pPr>
        <w:spacing w:line="360" w:lineRule="auto"/>
        <w:ind w:firstLine="640" w:firstLineChars="200"/>
        <w:rPr>
          <w:rFonts w:ascii="仿宋_GB2312" w:hAnsi="Arial" w:eastAsia="仿宋_GB2312" w:cs="仿宋_GB2312"/>
          <w:sz w:val="32"/>
          <w:szCs w:val="32"/>
        </w:rPr>
      </w:pPr>
      <w:r>
        <w:rPr>
          <w:rFonts w:hint="eastAsia" w:ascii="仿宋_GB2312" w:hAnsi="Arial" w:eastAsia="仿宋_GB2312" w:cs="仿宋_GB2312"/>
          <w:sz w:val="32"/>
          <w:szCs w:val="32"/>
        </w:rPr>
        <w:t>根据《项目支出绩效评价共性指标框架（参考）》，绩效评价工作组结合</w:t>
      </w:r>
      <w:r>
        <w:rPr>
          <w:rFonts w:hint="eastAsia" w:ascii="仿宋_GB2312" w:hAnsi="Arial" w:eastAsia="仿宋_GB2312" w:cs="仿宋_GB2312"/>
          <w:sz w:val="32"/>
          <w:szCs w:val="32"/>
          <w:lang w:eastAsia="zh-CN"/>
        </w:rPr>
        <w:t>县医管中心</w:t>
      </w:r>
      <w:r>
        <w:rPr>
          <w:rFonts w:hint="eastAsia" w:ascii="仿宋_GB2312" w:hAnsi="Arial" w:eastAsia="仿宋_GB2312" w:cs="仿宋_GB2312"/>
          <w:sz w:val="32"/>
          <w:szCs w:val="32"/>
        </w:rPr>
        <w:t>实施的“城乡居民医疗保险县级补助资金”项目的特点及资金使用的具体情况，经过绩效评价工作组讨论，以资金使用结果为导向，设定了本次评价指标体系的内容和权重，重点对项目目标及完成情况、效益实现情况进行综合评价。具体详见附件“指标体系及打分情况表”。</w:t>
      </w:r>
    </w:p>
    <w:p>
      <w:pPr>
        <w:pStyle w:val="3"/>
        <w:spacing w:line="360" w:lineRule="auto"/>
        <w:ind w:left="420" w:leftChars="200" w:firstLine="0" w:firstLineChars="0"/>
        <w:rPr>
          <w:rFonts w:ascii="仿宋_GB2312" w:hAnsi="Times New Roman" w:cs="仿宋_GB2312"/>
          <w:b/>
        </w:rPr>
      </w:pPr>
      <w:bookmarkStart w:id="41" w:name="_Toc3000"/>
      <w:r>
        <w:rPr>
          <w:rFonts w:hint="eastAsia" w:ascii="仿宋_GB2312" w:hAnsi="Times New Roman" w:cs="仿宋_GB2312"/>
          <w:b/>
        </w:rPr>
        <w:t>（四）证据收集方法</w:t>
      </w:r>
      <w:bookmarkEnd w:id="41"/>
    </w:p>
    <w:p>
      <w:pPr>
        <w:spacing w:line="360" w:lineRule="auto"/>
        <w:ind w:firstLine="640" w:firstLineChars="200"/>
        <w:rPr>
          <w:rFonts w:ascii="仿宋_GB2312" w:hAnsi="Times New Roman" w:eastAsia="仿宋_GB2312" w:cs="仿宋_GB2312"/>
          <w:b/>
        </w:rPr>
      </w:pPr>
      <w:r>
        <w:rPr>
          <w:rFonts w:hint="eastAsia" w:ascii="仿宋_GB2312" w:hAnsi="Arial" w:eastAsia="仿宋_GB2312" w:cs="仿宋_GB2312"/>
          <w:sz w:val="32"/>
          <w:szCs w:val="32"/>
        </w:rPr>
        <w:t>本次绩效评价证据收集方法：主要为现场收集，形式采用纸质盖章资料与电子资料相结合。</w:t>
      </w:r>
    </w:p>
    <w:p>
      <w:pPr>
        <w:pStyle w:val="3"/>
        <w:spacing w:line="360" w:lineRule="auto"/>
        <w:ind w:left="420" w:leftChars="200" w:firstLine="0" w:firstLineChars="0"/>
        <w:rPr>
          <w:rFonts w:ascii="仿宋_GB2312" w:hAnsi="Times New Roman"/>
          <w:b/>
          <w:bCs/>
        </w:rPr>
      </w:pPr>
      <w:bookmarkStart w:id="42" w:name="_Toc8387"/>
      <w:r>
        <w:rPr>
          <w:rFonts w:hint="eastAsia" w:ascii="仿宋_GB2312" w:hAnsi="Times New Roman" w:cs="仿宋_GB2312"/>
          <w:b/>
        </w:rPr>
        <w:t>（五）绩效评价实施</w:t>
      </w:r>
      <w:bookmarkEnd w:id="35"/>
      <w:bookmarkEnd w:id="36"/>
      <w:bookmarkEnd w:id="37"/>
      <w:bookmarkEnd w:id="38"/>
      <w:bookmarkEnd w:id="39"/>
      <w:r>
        <w:rPr>
          <w:rFonts w:hint="eastAsia" w:ascii="仿宋_GB2312" w:hAnsi="Times New Roman" w:cs="仿宋_GB2312"/>
          <w:b/>
        </w:rPr>
        <w:t>过程</w:t>
      </w:r>
      <w:bookmarkEnd w:id="42"/>
    </w:p>
    <w:p>
      <w:pPr>
        <w:spacing w:line="360" w:lineRule="auto"/>
        <w:ind w:firstLine="640" w:firstLineChars="200"/>
        <w:rPr>
          <w:rFonts w:ascii="仿宋_GB2312" w:hAnsi="Arial" w:eastAsia="仿宋_GB2312"/>
          <w:sz w:val="32"/>
          <w:szCs w:val="32"/>
        </w:rPr>
      </w:pPr>
      <w:r>
        <w:rPr>
          <w:rFonts w:hint="eastAsia" w:ascii="仿宋_GB2312" w:hAnsi="Arial" w:eastAsia="仿宋_GB2312" w:cs="仿宋_GB2312"/>
          <w:sz w:val="32"/>
          <w:szCs w:val="32"/>
        </w:rPr>
        <w:t>绩效评价工作程序主要分为准备评价、实施评价、评价报告撰写三个阶段。</w:t>
      </w:r>
    </w:p>
    <w:p>
      <w:pPr>
        <w:spacing w:line="360" w:lineRule="auto"/>
        <w:ind w:firstLine="672" w:firstLineChars="210"/>
        <w:rPr>
          <w:rFonts w:ascii="仿宋_GB2312" w:hAnsi="Arial" w:eastAsia="仿宋_GB2312"/>
          <w:sz w:val="32"/>
          <w:szCs w:val="32"/>
        </w:rPr>
      </w:pPr>
      <w:r>
        <w:rPr>
          <w:rFonts w:hint="eastAsia" w:ascii="仿宋_GB2312" w:hAnsi="Arial" w:eastAsia="仿宋_GB2312" w:cs="仿宋_GB2312"/>
          <w:sz w:val="32"/>
          <w:szCs w:val="32"/>
        </w:rPr>
        <w:t>1.准备评价阶段</w:t>
      </w:r>
    </w:p>
    <w:p>
      <w:pPr>
        <w:spacing w:line="360" w:lineRule="auto"/>
        <w:ind w:firstLine="672" w:firstLineChars="210"/>
        <w:rPr>
          <w:rFonts w:hint="eastAsia" w:ascii="仿宋_GB2312" w:hAnsi="Arial" w:eastAsia="仿宋_GB2312" w:cs="仿宋_GB2312"/>
          <w:sz w:val="32"/>
          <w:szCs w:val="32"/>
        </w:rPr>
      </w:pPr>
      <w:r>
        <w:rPr>
          <w:rFonts w:hint="eastAsia" w:ascii="仿宋_GB2312" w:hAnsi="Arial" w:eastAsia="仿宋_GB2312" w:cs="仿宋_GB2312"/>
          <w:sz w:val="32"/>
          <w:szCs w:val="32"/>
        </w:rPr>
        <w:t>组建绩效评价工作组，做好培训工作。根据</w:t>
      </w:r>
      <w:r>
        <w:rPr>
          <w:rFonts w:hint="eastAsia" w:ascii="仿宋_GB2312" w:eastAsia="仿宋_GB2312"/>
          <w:sz w:val="32"/>
          <w:szCs w:val="32"/>
        </w:rPr>
        <w:t>开展重点项目绩效评价的工作要求</w:t>
      </w:r>
      <w:r>
        <w:rPr>
          <w:rFonts w:hint="eastAsia" w:ascii="仿宋_GB2312" w:hAnsi="Arial" w:eastAsia="仿宋_GB2312" w:cs="仿宋_GB2312"/>
          <w:sz w:val="32"/>
          <w:szCs w:val="32"/>
        </w:rPr>
        <w:t>，县财政局委托中逸会计师事务所有限公司开展本项目绩效评价工作，20</w:t>
      </w:r>
      <w:r>
        <w:rPr>
          <w:rFonts w:hint="eastAsia" w:ascii="仿宋_GB2312" w:hAnsi="Arial" w:eastAsia="仿宋_GB2312" w:cs="仿宋_GB2312"/>
          <w:sz w:val="32"/>
          <w:szCs w:val="32"/>
          <w:lang w:val="en-US" w:eastAsia="zh-CN"/>
        </w:rPr>
        <w:t>20</w:t>
      </w:r>
      <w:r>
        <w:rPr>
          <w:rFonts w:hint="eastAsia" w:ascii="仿宋_GB2312" w:hAnsi="Arial" w:eastAsia="仿宋_GB2312" w:cs="仿宋_GB2312"/>
          <w:sz w:val="32"/>
          <w:szCs w:val="32"/>
        </w:rPr>
        <w:t>年</w:t>
      </w:r>
      <w:r>
        <w:rPr>
          <w:rFonts w:hint="eastAsia" w:ascii="仿宋_GB2312" w:hAnsi="Arial" w:eastAsia="仿宋_GB2312" w:cs="仿宋_GB2312"/>
          <w:sz w:val="32"/>
          <w:szCs w:val="32"/>
          <w:lang w:val="en-US" w:eastAsia="zh-CN"/>
        </w:rPr>
        <w:t>11</w:t>
      </w:r>
      <w:r>
        <w:rPr>
          <w:rFonts w:hint="eastAsia" w:ascii="仿宋_GB2312" w:hAnsi="Arial" w:eastAsia="仿宋_GB2312" w:cs="仿宋_GB2312"/>
          <w:sz w:val="32"/>
          <w:szCs w:val="32"/>
        </w:rPr>
        <w:t>月成立了项目绩效评价工作组，对该项目进行绩效评价。正式评价前对项目绩效评价工作人员进行了业务培训，明确了绩效评价工作要求，确保绩效评价工作有序开展。</w:t>
      </w:r>
    </w:p>
    <w:p>
      <w:pPr>
        <w:spacing w:line="360" w:lineRule="auto"/>
        <w:ind w:firstLine="672" w:firstLineChars="210"/>
        <w:rPr>
          <w:rFonts w:hint="eastAsia" w:ascii="仿宋_GB2312" w:hAnsi="Arial" w:eastAsia="仿宋_GB2312" w:cs="仿宋_GB2312"/>
          <w:sz w:val="32"/>
          <w:szCs w:val="32"/>
        </w:rPr>
      </w:pPr>
      <w:r>
        <w:rPr>
          <w:rFonts w:hint="eastAsia" w:ascii="仿宋_GB2312" w:hAnsi="Arial" w:eastAsia="仿宋_GB2312" w:cs="仿宋_GB2312"/>
          <w:sz w:val="32"/>
          <w:szCs w:val="32"/>
        </w:rPr>
        <w:t>2.实施评价阶段</w:t>
      </w:r>
    </w:p>
    <w:p>
      <w:pPr>
        <w:spacing w:line="360" w:lineRule="auto"/>
        <w:ind w:firstLine="640" w:firstLineChars="200"/>
        <w:rPr>
          <w:rFonts w:hint="eastAsia" w:ascii="仿宋_GB2312" w:hAnsi="Arial" w:eastAsia="仿宋_GB2312" w:cs="仿宋_GB2312"/>
          <w:sz w:val="32"/>
          <w:szCs w:val="32"/>
        </w:rPr>
      </w:pPr>
      <w:r>
        <w:rPr>
          <w:rFonts w:hint="eastAsia" w:ascii="仿宋_GB2312" w:hAnsi="Arial" w:eastAsia="仿宋_GB2312" w:cs="仿宋_GB2312"/>
          <w:sz w:val="32"/>
          <w:szCs w:val="32"/>
        </w:rPr>
        <w:t>（</w:t>
      </w:r>
      <w:r>
        <w:rPr>
          <w:rFonts w:hint="eastAsia" w:ascii="仿宋_GB2312" w:hAnsi="Arial" w:eastAsia="仿宋_GB2312" w:cs="仿宋_GB2312"/>
          <w:sz w:val="32"/>
          <w:szCs w:val="32"/>
          <w:lang w:val="en-US" w:eastAsia="zh-CN"/>
        </w:rPr>
        <w:t>1</w:t>
      </w:r>
      <w:r>
        <w:rPr>
          <w:rFonts w:hint="eastAsia" w:ascii="仿宋_GB2312" w:hAnsi="Arial" w:eastAsia="仿宋_GB2312" w:cs="仿宋_GB2312"/>
          <w:sz w:val="32"/>
          <w:szCs w:val="32"/>
        </w:rPr>
        <w:t>）入户收集业务资料。</w:t>
      </w:r>
      <w:r>
        <w:rPr>
          <w:rFonts w:hint="eastAsia" w:ascii="仿宋_GB2312" w:hAnsi="Arial Narrow" w:eastAsia="仿宋_GB2312"/>
          <w:sz w:val="32"/>
          <w:szCs w:val="32"/>
        </w:rPr>
        <w:t>绩效评价工作组于2</w:t>
      </w:r>
      <w:r>
        <w:rPr>
          <w:rFonts w:hint="eastAsia" w:ascii="仿宋_GB2312" w:hAnsi="Arial Narrow" w:eastAsia="仿宋_GB2312"/>
          <w:sz w:val="32"/>
          <w:szCs w:val="32"/>
          <w:lang w:val="en-US" w:eastAsia="zh-CN"/>
        </w:rPr>
        <w:t>020</w:t>
      </w:r>
      <w:r>
        <w:rPr>
          <w:rFonts w:hint="eastAsia" w:ascii="仿宋_GB2312" w:hAnsi="Arial Narrow" w:eastAsia="仿宋_GB2312"/>
          <w:sz w:val="32"/>
          <w:szCs w:val="32"/>
        </w:rPr>
        <w:t>年</w:t>
      </w:r>
      <w:r>
        <w:rPr>
          <w:rFonts w:hint="eastAsia" w:ascii="仿宋_GB2312" w:hAnsi="Arial Narrow" w:eastAsia="仿宋_GB2312"/>
          <w:sz w:val="32"/>
          <w:szCs w:val="32"/>
          <w:lang w:val="en-US" w:eastAsia="zh-CN"/>
        </w:rPr>
        <w:t>11</w:t>
      </w:r>
      <w:r>
        <w:rPr>
          <w:rFonts w:hint="eastAsia" w:ascii="仿宋_GB2312" w:hAnsi="Arial Narrow" w:eastAsia="仿宋_GB2312"/>
          <w:sz w:val="32"/>
          <w:szCs w:val="32"/>
        </w:rPr>
        <w:t>月</w:t>
      </w:r>
      <w:r>
        <w:rPr>
          <w:rFonts w:hint="eastAsia" w:ascii="仿宋_GB2312" w:hAnsi="Arial Narrow" w:eastAsia="仿宋_GB2312"/>
          <w:sz w:val="32"/>
          <w:szCs w:val="32"/>
          <w:lang w:val="en-US" w:eastAsia="zh-CN"/>
        </w:rPr>
        <w:t>11</w:t>
      </w:r>
      <w:r>
        <w:rPr>
          <w:rFonts w:hint="eastAsia" w:ascii="仿宋_GB2312" w:hAnsi="Arial Narrow" w:eastAsia="仿宋_GB2312"/>
          <w:sz w:val="32"/>
          <w:szCs w:val="32"/>
        </w:rPr>
        <w:t>日入户调研，</w:t>
      </w:r>
      <w:r>
        <w:rPr>
          <w:rFonts w:hint="eastAsia" w:ascii="仿宋_GB2312" w:hAnsi="Arial" w:eastAsia="仿宋_GB2312" w:cs="仿宋_GB2312"/>
          <w:sz w:val="32"/>
          <w:szCs w:val="32"/>
        </w:rPr>
        <w:t>与项目单位进行沟通，了解项目申报及执行情况，取得业务资料。</w:t>
      </w:r>
    </w:p>
    <w:p>
      <w:pPr>
        <w:spacing w:line="360" w:lineRule="auto"/>
        <w:ind w:firstLine="640" w:firstLineChars="200"/>
        <w:rPr>
          <w:rFonts w:hint="eastAsia" w:ascii="仿宋_GB2312" w:hAnsi="Arial" w:eastAsia="仿宋_GB2312" w:cs="仿宋_GB2312"/>
          <w:sz w:val="32"/>
          <w:szCs w:val="32"/>
        </w:rPr>
      </w:pPr>
      <w:r>
        <w:rPr>
          <w:rFonts w:hint="eastAsia" w:ascii="仿宋_GB2312" w:hAnsi="Arial" w:eastAsia="仿宋_GB2312" w:cs="仿宋_GB2312"/>
          <w:sz w:val="32"/>
          <w:szCs w:val="32"/>
        </w:rPr>
        <w:t>（2）遴选专家，组建专家工作组。绩效评价工作组根据项目的特点，依据客观、公正的原则，遴选2名管理专家、2名业务专家及1名财务专家组成专家工作组。</w:t>
      </w:r>
    </w:p>
    <w:p>
      <w:pPr>
        <w:spacing w:line="360" w:lineRule="auto"/>
        <w:ind w:firstLine="640" w:firstLineChars="200"/>
        <w:rPr>
          <w:rFonts w:hint="eastAsia" w:ascii="仿宋_GB2312" w:hAnsi="Arial Narrow" w:eastAsia="仿宋_GB2312"/>
          <w:sz w:val="32"/>
          <w:szCs w:val="32"/>
          <w:highlight w:val="none"/>
        </w:rPr>
      </w:pPr>
      <w:r>
        <w:rPr>
          <w:rFonts w:hint="eastAsia" w:ascii="仿宋_GB2312" w:hAnsi="Arial" w:eastAsia="仿宋_GB2312" w:cs="仿宋_GB2312"/>
          <w:sz w:val="32"/>
          <w:szCs w:val="32"/>
          <w:highlight w:val="none"/>
        </w:rPr>
        <w:t>（</w:t>
      </w:r>
      <w:r>
        <w:rPr>
          <w:rFonts w:hint="eastAsia" w:ascii="仿宋_GB2312" w:hAnsi="Arial" w:eastAsia="仿宋_GB2312" w:cs="仿宋_GB2312"/>
          <w:sz w:val="32"/>
          <w:szCs w:val="32"/>
          <w:highlight w:val="none"/>
          <w:lang w:val="en-US" w:eastAsia="zh-CN"/>
        </w:rPr>
        <w:t>3</w:t>
      </w:r>
      <w:r>
        <w:rPr>
          <w:rFonts w:hint="eastAsia" w:ascii="仿宋_GB2312" w:hAnsi="Arial" w:eastAsia="仿宋_GB2312" w:cs="仿宋_GB2312"/>
          <w:sz w:val="32"/>
          <w:szCs w:val="32"/>
          <w:highlight w:val="none"/>
        </w:rPr>
        <w:t>）</w:t>
      </w:r>
      <w:r>
        <w:rPr>
          <w:rFonts w:hint="eastAsia" w:ascii="仿宋_GB2312" w:hAnsi="Arial Narrow" w:eastAsia="仿宋_GB2312"/>
          <w:sz w:val="32"/>
          <w:szCs w:val="32"/>
          <w:highlight w:val="none"/>
        </w:rPr>
        <w:t>资料分析汇总</w:t>
      </w:r>
    </w:p>
    <w:p>
      <w:pPr>
        <w:spacing w:line="360" w:lineRule="auto"/>
        <w:ind w:firstLine="640" w:firstLineChars="200"/>
        <w:rPr>
          <w:rFonts w:hint="eastAsia" w:ascii="仿宋_GB2312" w:hAnsi="Arial" w:eastAsia="仿宋_GB2312" w:cs="仿宋_GB2312"/>
          <w:sz w:val="32"/>
          <w:szCs w:val="32"/>
          <w:highlight w:val="none"/>
        </w:rPr>
      </w:pPr>
      <w:r>
        <w:rPr>
          <w:rFonts w:hint="eastAsia" w:ascii="仿宋_GB2312" w:hAnsi="Arial" w:eastAsia="仿宋_GB2312" w:cs="仿宋_GB2312"/>
          <w:sz w:val="32"/>
          <w:szCs w:val="32"/>
          <w:highlight w:val="none"/>
        </w:rPr>
        <w:t>①项目绩效报告复核。绩效评价工作组在规定时间内按要求对项目单位提交的项目绩效报告和相关材料的完整和真实性进行复核。复核内容主要包括：项目绩效报告中各项内容的完整性、真实性，各项数据的逻辑关系、勾稽关系的准确性。发现问题，及时反馈意见，要求项目单位进行补充、完善。对重要的和存在疑问的基础数据资料进行核实确认，确保评价数据的真实性。</w:t>
      </w:r>
    </w:p>
    <w:p>
      <w:pPr>
        <w:spacing w:line="360" w:lineRule="auto"/>
        <w:ind w:firstLine="640" w:firstLineChars="200"/>
        <w:rPr>
          <w:rFonts w:hint="eastAsia" w:ascii="仿宋_GB2312" w:hAnsi="Arial" w:eastAsia="仿宋_GB2312" w:cs="仿宋_GB2312"/>
          <w:sz w:val="32"/>
          <w:szCs w:val="32"/>
          <w:highlight w:val="none"/>
        </w:rPr>
      </w:pPr>
      <w:r>
        <w:rPr>
          <w:rFonts w:hint="eastAsia" w:ascii="仿宋_GB2312" w:hAnsi="Arial" w:eastAsia="仿宋_GB2312" w:cs="仿宋_GB2312"/>
          <w:sz w:val="32"/>
          <w:szCs w:val="32"/>
          <w:highlight w:val="none"/>
        </w:rPr>
        <w:t>②编制专家评价资料手册，提交专家组成员。根据具体评价要求和评价项目情况，绩效评价工作组按照指标体系内容对资料分类整理并装订成册，形成专家资料手册，并提交给专家组成员审阅资料。</w:t>
      </w:r>
    </w:p>
    <w:p>
      <w:pPr>
        <w:spacing w:line="360" w:lineRule="auto"/>
        <w:ind w:firstLine="640" w:firstLineChars="200"/>
        <w:rPr>
          <w:rFonts w:hint="eastAsia" w:ascii="仿宋_GB2312" w:hAnsi="Arial" w:eastAsia="仿宋_GB2312" w:cs="仿宋_GB2312"/>
          <w:sz w:val="32"/>
          <w:szCs w:val="32"/>
          <w:highlight w:val="none"/>
        </w:rPr>
      </w:pPr>
      <w:r>
        <w:rPr>
          <w:rFonts w:hint="eastAsia" w:ascii="仿宋_GB2312" w:hAnsi="Arial" w:eastAsia="仿宋_GB2312" w:cs="仿宋_GB2312"/>
          <w:sz w:val="32"/>
          <w:szCs w:val="32"/>
          <w:highlight w:val="none"/>
        </w:rPr>
        <w:t>（</w:t>
      </w:r>
      <w:r>
        <w:rPr>
          <w:rFonts w:hint="eastAsia" w:ascii="仿宋_GB2312" w:hAnsi="Arial" w:eastAsia="仿宋_GB2312" w:cs="仿宋_GB2312"/>
          <w:sz w:val="32"/>
          <w:szCs w:val="32"/>
          <w:highlight w:val="none"/>
          <w:lang w:val="en-US" w:eastAsia="zh-CN"/>
        </w:rPr>
        <w:t>4</w:t>
      </w:r>
      <w:r>
        <w:rPr>
          <w:rFonts w:hint="eastAsia" w:ascii="仿宋_GB2312" w:hAnsi="Arial" w:eastAsia="仿宋_GB2312" w:cs="仿宋_GB2312"/>
          <w:sz w:val="32"/>
          <w:szCs w:val="32"/>
          <w:highlight w:val="none"/>
        </w:rPr>
        <w:t>）召开专家预备会，完善指标体系。绩效评价工作组于2020年1</w:t>
      </w:r>
      <w:r>
        <w:rPr>
          <w:rFonts w:hint="eastAsia" w:ascii="仿宋_GB2312" w:hAnsi="Arial" w:eastAsia="仿宋_GB2312" w:cs="仿宋_GB2312"/>
          <w:sz w:val="32"/>
          <w:szCs w:val="32"/>
          <w:highlight w:val="none"/>
          <w:lang w:eastAsia="zh-CN"/>
        </w:rPr>
        <w:t>1</w:t>
      </w:r>
      <w:r>
        <w:rPr>
          <w:rFonts w:hint="eastAsia" w:ascii="仿宋_GB2312" w:hAnsi="Arial" w:eastAsia="仿宋_GB2312" w:cs="仿宋_GB2312"/>
          <w:sz w:val="32"/>
          <w:szCs w:val="32"/>
          <w:highlight w:val="none"/>
        </w:rPr>
        <w:t>月</w:t>
      </w:r>
      <w:r>
        <w:rPr>
          <w:rFonts w:hint="eastAsia" w:ascii="仿宋_GB2312" w:hAnsi="Arial" w:eastAsia="仿宋_GB2312" w:cs="仿宋_GB2312"/>
          <w:sz w:val="32"/>
          <w:szCs w:val="32"/>
          <w:highlight w:val="none"/>
          <w:lang w:val="en-US" w:eastAsia="zh-CN"/>
        </w:rPr>
        <w:t>19</w:t>
      </w:r>
      <w:r>
        <w:rPr>
          <w:rFonts w:hint="eastAsia" w:ascii="仿宋_GB2312" w:hAnsi="Arial" w:eastAsia="仿宋_GB2312" w:cs="仿宋_GB2312"/>
          <w:sz w:val="32"/>
          <w:szCs w:val="32"/>
          <w:highlight w:val="none"/>
        </w:rPr>
        <w:t>日组织召开了专家预备会，5位专家从各自专业角度，结合对项目的整体了解情况，明确对项目的关注重点，针对存在的问题形成初步的意见, 并细化评价指标体系。会后，根据预备会专家提出的疑似问题及补充资料意见，绩效评价工作组汇总后及时反馈给</w:t>
      </w:r>
      <w:r>
        <w:rPr>
          <w:rFonts w:hint="eastAsia" w:ascii="仿宋_GB2312" w:hAnsi="Arial" w:eastAsia="仿宋_GB2312" w:cs="仿宋_GB2312"/>
          <w:sz w:val="32"/>
          <w:szCs w:val="32"/>
          <w:highlight w:val="none"/>
          <w:lang w:val="en-US" w:eastAsia="zh-CN"/>
        </w:rPr>
        <w:t>县医管中心</w:t>
      </w:r>
      <w:r>
        <w:rPr>
          <w:rFonts w:hint="eastAsia" w:ascii="仿宋_GB2312" w:hAnsi="Arial" w:eastAsia="仿宋_GB2312" w:cs="仿宋_GB2312"/>
          <w:sz w:val="32"/>
          <w:szCs w:val="32"/>
          <w:highlight w:val="none"/>
        </w:rPr>
        <w:t>。</w:t>
      </w:r>
    </w:p>
    <w:p>
      <w:pPr>
        <w:spacing w:line="360" w:lineRule="auto"/>
        <w:ind w:firstLine="640" w:firstLineChars="200"/>
        <w:rPr>
          <w:rFonts w:ascii="仿宋_GB2312" w:hAnsi="Arial" w:eastAsia="仿宋_GB2312"/>
          <w:sz w:val="32"/>
          <w:szCs w:val="32"/>
        </w:rPr>
      </w:pPr>
      <w:r>
        <w:rPr>
          <w:rFonts w:hint="eastAsia" w:ascii="仿宋_GB2312" w:hAnsi="Arial" w:eastAsia="仿宋_GB2312" w:cs="仿宋_GB2312"/>
          <w:sz w:val="32"/>
          <w:szCs w:val="32"/>
          <w:highlight w:val="none"/>
        </w:rPr>
        <w:t>（</w:t>
      </w:r>
      <w:r>
        <w:rPr>
          <w:rFonts w:hint="eastAsia" w:ascii="仿宋_GB2312" w:hAnsi="Arial" w:eastAsia="仿宋_GB2312" w:cs="仿宋_GB2312"/>
          <w:sz w:val="32"/>
          <w:szCs w:val="32"/>
          <w:highlight w:val="none"/>
          <w:lang w:val="en-US" w:eastAsia="zh-CN"/>
        </w:rPr>
        <w:t>5</w:t>
      </w:r>
      <w:r>
        <w:rPr>
          <w:rFonts w:hint="eastAsia" w:ascii="仿宋_GB2312" w:hAnsi="Arial" w:eastAsia="仿宋_GB2312" w:cs="仿宋_GB2312"/>
          <w:sz w:val="32"/>
          <w:szCs w:val="32"/>
          <w:highlight w:val="none"/>
        </w:rPr>
        <w:t>）召开专家评价会。2020年1</w:t>
      </w:r>
      <w:r>
        <w:rPr>
          <w:rFonts w:hint="eastAsia" w:ascii="仿宋_GB2312" w:hAnsi="Arial" w:eastAsia="仿宋_GB2312" w:cs="仿宋_GB2312"/>
          <w:sz w:val="32"/>
          <w:szCs w:val="32"/>
          <w:highlight w:val="none"/>
          <w:lang w:eastAsia="zh-CN"/>
        </w:rPr>
        <w:t>1</w:t>
      </w:r>
      <w:r>
        <w:rPr>
          <w:rFonts w:hint="eastAsia" w:ascii="仿宋_GB2312" w:hAnsi="Arial" w:eastAsia="仿宋_GB2312" w:cs="仿宋_GB2312"/>
          <w:sz w:val="32"/>
          <w:szCs w:val="32"/>
          <w:highlight w:val="none"/>
        </w:rPr>
        <w:t>月</w:t>
      </w:r>
      <w:r>
        <w:rPr>
          <w:rFonts w:hint="eastAsia" w:ascii="仿宋_GB2312" w:hAnsi="Arial" w:eastAsia="仿宋_GB2312" w:cs="仿宋_GB2312"/>
          <w:sz w:val="32"/>
          <w:szCs w:val="32"/>
          <w:highlight w:val="none"/>
          <w:lang w:eastAsia="zh-CN"/>
        </w:rPr>
        <w:t>2</w:t>
      </w:r>
      <w:r>
        <w:rPr>
          <w:rFonts w:hint="eastAsia" w:ascii="仿宋_GB2312" w:hAnsi="Arial" w:eastAsia="仿宋_GB2312" w:cs="仿宋_GB2312"/>
          <w:sz w:val="32"/>
          <w:szCs w:val="32"/>
          <w:highlight w:val="none"/>
          <w:lang w:val="en-US" w:eastAsia="zh-CN"/>
        </w:rPr>
        <w:t>4</w:t>
      </w:r>
      <w:r>
        <w:rPr>
          <w:rFonts w:hint="eastAsia" w:ascii="仿宋_GB2312" w:hAnsi="Arial" w:eastAsia="仿宋_GB2312" w:cs="仿宋_GB2312"/>
          <w:sz w:val="32"/>
          <w:szCs w:val="32"/>
          <w:highlight w:val="none"/>
        </w:rPr>
        <w:t>日，绩效评价工作组组织召开了专家评价会，评价会上，专家组认真听取</w:t>
      </w:r>
      <w:r>
        <w:rPr>
          <w:rFonts w:hint="eastAsia" w:ascii="仿宋_GB2312" w:hAnsi="Times New Roman" w:eastAsia="仿宋_GB2312"/>
          <w:spacing w:val="-6"/>
          <w:sz w:val="32"/>
          <w:szCs w:val="32"/>
          <w:lang w:val="en-US" w:eastAsia="zh-CN"/>
        </w:rPr>
        <w:t>县医管中心</w:t>
      </w:r>
      <w:r>
        <w:rPr>
          <w:rFonts w:hint="eastAsia" w:ascii="仿宋_GB2312" w:hAnsi="Arial" w:eastAsia="仿宋_GB2312" w:cs="仿宋_GB2312"/>
          <w:sz w:val="32"/>
          <w:szCs w:val="32"/>
          <w:highlight w:val="none"/>
        </w:rPr>
        <w:t>对项目实施情况的介绍，对一些问题或疑似问题进行</w:t>
      </w:r>
      <w:r>
        <w:rPr>
          <w:rFonts w:hint="eastAsia" w:ascii="仿宋_GB2312" w:hAnsi="Arial" w:eastAsia="仿宋_GB2312" w:cs="仿宋_GB2312"/>
          <w:sz w:val="32"/>
          <w:szCs w:val="32"/>
          <w:highlight w:val="none"/>
          <w:lang w:val="en-US" w:eastAsia="zh-CN"/>
        </w:rPr>
        <w:t>沟通与交流</w:t>
      </w:r>
      <w:r>
        <w:rPr>
          <w:rFonts w:hint="eastAsia" w:ascii="仿宋_GB2312" w:hAnsi="Arial" w:eastAsia="仿宋_GB2312" w:cs="仿宋_GB2312"/>
          <w:sz w:val="32"/>
          <w:szCs w:val="32"/>
          <w:highlight w:val="none"/>
        </w:rPr>
        <w:t>，结合</w:t>
      </w:r>
      <w:r>
        <w:rPr>
          <w:rFonts w:hint="eastAsia" w:ascii="仿宋_GB2312" w:hAnsi="Times New Roman" w:eastAsia="仿宋_GB2312"/>
          <w:spacing w:val="-6"/>
          <w:sz w:val="32"/>
          <w:szCs w:val="32"/>
          <w:lang w:val="en-US" w:eastAsia="zh-CN"/>
        </w:rPr>
        <w:t>县医管中心</w:t>
      </w:r>
      <w:r>
        <w:rPr>
          <w:rFonts w:hint="eastAsia" w:ascii="仿宋_GB2312" w:hAnsi="Arial" w:eastAsia="仿宋_GB2312" w:cs="仿宋_GB2312"/>
          <w:sz w:val="32"/>
          <w:szCs w:val="32"/>
          <w:highlight w:val="none"/>
        </w:rPr>
        <w:t>的解答及实际情况，专家组讨论后形成最终评价意见，并根据指标体系进行客观、公正的评分，形成《专家意见汇总书》和《专家评价书》。</w:t>
      </w:r>
    </w:p>
    <w:p>
      <w:pPr>
        <w:spacing w:line="360" w:lineRule="auto"/>
        <w:ind w:firstLine="640" w:firstLineChars="200"/>
        <w:rPr>
          <w:rFonts w:ascii="仿宋_GB2312" w:eastAsia="仿宋_GB2312"/>
          <w:color w:val="FF0000"/>
          <w:sz w:val="32"/>
          <w:szCs w:val="32"/>
          <w:u w:val="single"/>
        </w:rPr>
      </w:pPr>
      <w:r>
        <w:rPr>
          <w:rFonts w:hint="eastAsia" w:ascii="仿宋_GB2312" w:hAnsi="Arial" w:eastAsia="仿宋_GB2312" w:cs="仿宋_GB2312"/>
          <w:sz w:val="32"/>
          <w:szCs w:val="32"/>
        </w:rPr>
        <w:t>3.评价报告撰写阶段</w:t>
      </w:r>
    </w:p>
    <w:p>
      <w:pPr>
        <w:spacing w:line="360" w:lineRule="auto"/>
        <w:ind w:firstLine="640" w:firstLineChars="200"/>
        <w:rPr>
          <w:rFonts w:ascii="仿宋_GB2312" w:hAnsi="仿宋" w:eastAsia="仿宋_GB2312" w:cs="仿宋"/>
          <w:bCs/>
          <w:sz w:val="32"/>
          <w:szCs w:val="32"/>
        </w:rPr>
      </w:pPr>
      <w:r>
        <w:rPr>
          <w:rFonts w:hint="eastAsia" w:ascii="仿宋_GB2312" w:hAnsi="Arial" w:eastAsia="仿宋_GB2312" w:cs="仿宋_GB2312"/>
          <w:kern w:val="0"/>
          <w:sz w:val="32"/>
          <w:szCs w:val="32"/>
        </w:rPr>
        <w:t>（1）撰写评价报告。绩效评价工作组汇总专家意见，形成项目绩效评价报告初稿。</w:t>
      </w:r>
    </w:p>
    <w:p>
      <w:pPr>
        <w:spacing w:line="360" w:lineRule="auto"/>
        <w:ind w:firstLine="640" w:firstLineChars="200"/>
        <w:rPr>
          <w:rFonts w:ascii="仿宋_GB2312" w:hAnsi="宋体" w:eastAsia="仿宋_GB2312"/>
          <w:bCs/>
          <w:sz w:val="32"/>
          <w:szCs w:val="32"/>
        </w:rPr>
      </w:pPr>
      <w:r>
        <w:rPr>
          <w:rFonts w:hint="eastAsia" w:ascii="仿宋_GB2312" w:hAnsi="Arial" w:eastAsia="仿宋_GB2312" w:cs="仿宋_GB2312"/>
          <w:kern w:val="0"/>
          <w:sz w:val="32"/>
          <w:szCs w:val="32"/>
        </w:rPr>
        <w:t>（2）沟通初步评价意见。绩效评价报告初稿完成后，绩效评价工作组就报告中所反映的问题与县财政局进行沟通。</w:t>
      </w:r>
    </w:p>
    <w:p>
      <w:pPr>
        <w:spacing w:line="360" w:lineRule="auto"/>
        <w:ind w:firstLine="640" w:firstLineChars="200"/>
        <w:rPr>
          <w:rFonts w:ascii="仿宋_GB2312" w:hAnsi="宋体" w:eastAsia="仿宋_GB2312"/>
          <w:bCs/>
          <w:sz w:val="32"/>
          <w:szCs w:val="32"/>
        </w:rPr>
      </w:pPr>
      <w:r>
        <w:rPr>
          <w:rFonts w:hint="eastAsia" w:ascii="仿宋_GB2312" w:hAnsi="Arial" w:eastAsia="仿宋_GB2312" w:cs="仿宋_GB2312"/>
          <w:kern w:val="0"/>
          <w:sz w:val="32"/>
          <w:szCs w:val="32"/>
        </w:rPr>
        <w:t>（3）形成正式绩效评价报告。绩效评价工作组在县财政局反馈意见的基础上，对报告内容进行完善，形成正式绩效评价报告。</w:t>
      </w:r>
    </w:p>
    <w:p>
      <w:pPr>
        <w:spacing w:line="360" w:lineRule="auto"/>
        <w:ind w:firstLine="672" w:firstLineChars="210"/>
        <w:rPr>
          <w:rFonts w:ascii="仿宋_GB2312" w:eastAsia="仿宋_GB2312"/>
          <w:sz w:val="32"/>
          <w:szCs w:val="32"/>
        </w:rPr>
      </w:pPr>
      <w:r>
        <w:rPr>
          <w:rFonts w:hint="eastAsia" w:ascii="仿宋_GB2312" w:hAnsi="Arial" w:eastAsia="仿宋_GB2312" w:cs="仿宋_GB2312"/>
          <w:kern w:val="0"/>
          <w:sz w:val="32"/>
          <w:szCs w:val="32"/>
        </w:rPr>
        <w:t>（4）报送绩效评价报告。绩效评价工作组将定稿并装订成册的绩效评价报告和评价资料报送给县财政局</w:t>
      </w:r>
      <w:r>
        <w:rPr>
          <w:rFonts w:hint="eastAsia" w:ascii="仿宋_GB2312" w:eastAsia="仿宋_GB2312"/>
          <w:sz w:val="32"/>
          <w:szCs w:val="32"/>
        </w:rPr>
        <w:t>。</w:t>
      </w:r>
    </w:p>
    <w:p>
      <w:pPr>
        <w:pStyle w:val="2"/>
        <w:spacing w:line="360" w:lineRule="auto"/>
        <w:ind w:left="0" w:firstLine="835" w:firstLineChars="260"/>
      </w:pPr>
      <w:bookmarkStart w:id="43" w:name="_Toc426246480"/>
      <w:bookmarkStart w:id="44" w:name="_Toc426226418"/>
      <w:bookmarkStart w:id="45" w:name="_Toc8268"/>
      <w:r>
        <w:rPr>
          <w:rFonts w:hint="eastAsia"/>
        </w:rPr>
        <w:t>三、</w:t>
      </w:r>
      <w:bookmarkEnd w:id="26"/>
      <w:r>
        <w:rPr>
          <w:rFonts w:hint="eastAsia"/>
        </w:rPr>
        <w:t>绩效评价</w:t>
      </w:r>
      <w:bookmarkEnd w:id="27"/>
      <w:bookmarkEnd w:id="43"/>
      <w:bookmarkEnd w:id="44"/>
      <w:r>
        <w:rPr>
          <w:rFonts w:hint="eastAsia"/>
        </w:rPr>
        <w:t>结果</w:t>
      </w:r>
      <w:bookmarkEnd w:id="45"/>
    </w:p>
    <w:p>
      <w:pPr>
        <w:pStyle w:val="3"/>
        <w:spacing w:line="360" w:lineRule="auto"/>
        <w:ind w:firstLine="643"/>
        <w:rPr>
          <w:rFonts w:ascii="仿宋_GB2312"/>
          <w:b/>
        </w:rPr>
      </w:pPr>
      <w:bookmarkStart w:id="46" w:name="_Toc426226419"/>
      <w:bookmarkStart w:id="47" w:name="_Toc365968755"/>
      <w:bookmarkStart w:id="48" w:name="_Toc426246481"/>
      <w:bookmarkStart w:id="49" w:name="_Toc20473"/>
      <w:r>
        <w:rPr>
          <w:rFonts w:hint="eastAsia" w:ascii="仿宋_GB2312"/>
          <w:b/>
        </w:rPr>
        <w:t>（一）绩效分析</w:t>
      </w:r>
      <w:bookmarkEnd w:id="46"/>
      <w:bookmarkEnd w:id="47"/>
      <w:bookmarkEnd w:id="48"/>
      <w:bookmarkEnd w:id="49"/>
    </w:p>
    <w:p>
      <w:pPr>
        <w:spacing w:line="360" w:lineRule="auto"/>
        <w:ind w:firstLine="672" w:firstLineChars="210"/>
        <w:rPr>
          <w:rFonts w:ascii="仿宋_GB2312" w:hAnsi="仿宋_GB2312" w:eastAsia="仿宋_GB2312"/>
          <w:sz w:val="32"/>
          <w:szCs w:val="32"/>
        </w:rPr>
      </w:pPr>
      <w:r>
        <w:rPr>
          <w:rFonts w:hint="eastAsia" w:ascii="仿宋_GB2312" w:hAnsi="仿宋_GB2312" w:eastAsia="仿宋_GB2312"/>
          <w:sz w:val="32"/>
          <w:szCs w:val="32"/>
        </w:rPr>
        <w:t>1.目标明确性分析</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项目的绩效目标申报表</w:t>
      </w:r>
      <w:r>
        <w:rPr>
          <w:rFonts w:hint="eastAsia" w:ascii="仿宋_GB2312" w:hAnsi="仿宋" w:eastAsia="仿宋_GB2312"/>
          <w:sz w:val="32"/>
          <w:szCs w:val="32"/>
          <w:lang w:val="en-US" w:eastAsia="zh-CN"/>
        </w:rPr>
        <w:t>中</w:t>
      </w:r>
      <w:r>
        <w:rPr>
          <w:rFonts w:hint="eastAsia" w:ascii="仿宋_GB2312" w:hAnsi="仿宋" w:eastAsia="仿宋_GB2312"/>
          <w:sz w:val="32"/>
          <w:szCs w:val="32"/>
        </w:rPr>
        <w:t>绩效指标设定不够明确，</w:t>
      </w:r>
      <w:r>
        <w:rPr>
          <w:rFonts w:hint="eastAsia" w:ascii="仿宋_GB2312" w:hAnsi="仿宋" w:eastAsia="仿宋_GB2312"/>
          <w:sz w:val="32"/>
          <w:szCs w:val="32"/>
          <w:lang w:val="en-US" w:eastAsia="zh-CN"/>
        </w:rPr>
        <w:t>年度总体</w:t>
      </w:r>
      <w:r>
        <w:rPr>
          <w:rFonts w:hint="eastAsia" w:ascii="仿宋_GB2312" w:hAnsi="仿宋" w:eastAsia="仿宋_GB2312"/>
          <w:sz w:val="32"/>
          <w:szCs w:val="32"/>
        </w:rPr>
        <w:t>指标设定为“通过项目的开展实现城乡居民医疗保险县级补助，保障城乡居民医疗保险基金的筹集”不够明确，缺少量化指标，</w:t>
      </w:r>
      <w:r>
        <w:rPr>
          <w:rFonts w:hint="eastAsia" w:ascii="仿宋_GB2312" w:hAnsi="仿宋" w:eastAsia="仿宋_GB2312"/>
          <w:sz w:val="32"/>
          <w:szCs w:val="32"/>
          <w:lang w:val="en-US" w:eastAsia="zh-CN"/>
        </w:rPr>
        <w:t>缺少针对具体的工作内容的描述；效益指标设定为“城乡居民对补助政策知晓率”不够完整，缺少参保率等可比可测指标</w:t>
      </w:r>
      <w:r>
        <w:rPr>
          <w:rFonts w:hint="eastAsia" w:ascii="仿宋_GB2312" w:hAnsi="仿宋" w:eastAsia="仿宋_GB2312"/>
          <w:sz w:val="32"/>
          <w:szCs w:val="32"/>
        </w:rPr>
        <w:t>。</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2.目标合理性分析</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项目的绩效指标设</w:t>
      </w:r>
      <w:r>
        <w:rPr>
          <w:rFonts w:hint="eastAsia" w:ascii="仿宋_GB2312" w:hAnsi="仿宋" w:eastAsia="仿宋_GB2312"/>
          <w:sz w:val="32"/>
          <w:szCs w:val="32"/>
          <w:lang w:val="en-US" w:eastAsia="zh-CN"/>
        </w:rPr>
        <w:t>定</w:t>
      </w:r>
      <w:r>
        <w:rPr>
          <w:rFonts w:hint="eastAsia" w:ascii="仿宋_GB2312" w:hAnsi="仿宋" w:eastAsia="仿宋_GB2312"/>
          <w:sz w:val="32"/>
          <w:szCs w:val="32"/>
        </w:rPr>
        <w:t>不够合理，</w:t>
      </w:r>
      <w:r>
        <w:rPr>
          <w:rFonts w:hint="eastAsia" w:ascii="仿宋_GB2312" w:hAnsi="仿宋" w:eastAsia="仿宋_GB2312"/>
          <w:sz w:val="32"/>
          <w:szCs w:val="32"/>
          <w:lang w:val="en-US" w:eastAsia="zh-CN"/>
        </w:rPr>
        <w:t>质量</w:t>
      </w:r>
      <w:r>
        <w:rPr>
          <w:rFonts w:hint="eastAsia" w:ascii="仿宋_GB2312" w:hAnsi="仿宋" w:eastAsia="仿宋_GB2312"/>
          <w:sz w:val="32"/>
          <w:szCs w:val="32"/>
        </w:rPr>
        <w:t>指标设定为“城乡居民参加医疗保险县级补助标准”不够合理，难以有效衡量。</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3.项目目标细化程度分析</w:t>
      </w:r>
    </w:p>
    <w:p>
      <w:pPr>
        <w:spacing w:line="360" w:lineRule="auto"/>
        <w:ind w:firstLine="640" w:firstLineChars="200"/>
        <w:rPr>
          <w:rFonts w:ascii="仿宋_GB2312" w:hAnsi="仿宋" w:eastAsia="仿宋_GB2312"/>
          <w:sz w:val="32"/>
          <w:szCs w:val="32"/>
        </w:rPr>
      </w:pPr>
      <w:bookmarkStart w:id="50" w:name="_Toc426246482"/>
      <w:bookmarkStart w:id="51" w:name="_Toc365968756"/>
      <w:bookmarkStart w:id="52" w:name="_Toc426226421"/>
      <w:bookmarkStart w:id="53" w:name="_Toc28535"/>
      <w:r>
        <w:rPr>
          <w:rFonts w:hint="eastAsia" w:ascii="仿宋_GB2312" w:hAnsi="仿宋" w:eastAsia="仿宋_GB2312"/>
          <w:sz w:val="32"/>
          <w:szCs w:val="32"/>
        </w:rPr>
        <w:t>项目大部分具体指标较为细化，但个别指标设定</w:t>
      </w:r>
      <w:r>
        <w:rPr>
          <w:rFonts w:hint="eastAsia" w:ascii="仿宋_GB2312" w:hAnsi="仿宋" w:eastAsia="仿宋_GB2312"/>
          <w:sz w:val="32"/>
          <w:szCs w:val="32"/>
          <w:lang w:val="en-US" w:eastAsia="zh-CN"/>
        </w:rPr>
        <w:t>仍</w:t>
      </w:r>
      <w:r>
        <w:rPr>
          <w:rFonts w:hint="eastAsia" w:ascii="仿宋_GB2312" w:hAnsi="仿宋" w:eastAsia="仿宋_GB2312"/>
          <w:sz w:val="32"/>
          <w:szCs w:val="32"/>
        </w:rPr>
        <w:t>比较笼统。</w:t>
      </w:r>
      <w:r>
        <w:rPr>
          <w:rFonts w:hint="eastAsia" w:ascii="仿宋_GB2312" w:hAnsi="仿宋" w:eastAsia="仿宋_GB2312"/>
          <w:sz w:val="32"/>
          <w:szCs w:val="32"/>
          <w:lang w:val="en-US" w:eastAsia="zh-CN"/>
        </w:rPr>
        <w:t>进度</w:t>
      </w:r>
      <w:r>
        <w:rPr>
          <w:rFonts w:hint="eastAsia" w:ascii="仿宋_GB2312" w:hAnsi="仿宋" w:eastAsia="仿宋_GB2312"/>
          <w:sz w:val="32"/>
          <w:szCs w:val="32"/>
        </w:rPr>
        <w:t>指标设定为“费用上缴时间</w:t>
      </w:r>
      <w:r>
        <w:rPr>
          <w:rFonts w:hint="eastAsia" w:ascii="仿宋_GB2312" w:hAnsi="仿宋" w:eastAsia="仿宋_GB2312"/>
          <w:sz w:val="32"/>
          <w:szCs w:val="32"/>
          <w:lang w:val="en-US" w:eastAsia="zh-CN"/>
        </w:rPr>
        <w:t>9月底</w:t>
      </w:r>
      <w:r>
        <w:rPr>
          <w:rFonts w:hint="eastAsia" w:ascii="仿宋_GB2312" w:hAnsi="仿宋" w:eastAsia="仿宋_GB2312"/>
          <w:sz w:val="32"/>
          <w:szCs w:val="32"/>
        </w:rPr>
        <w:t>”，指标</w:t>
      </w:r>
      <w:r>
        <w:rPr>
          <w:rFonts w:hint="eastAsia" w:ascii="仿宋_GB2312" w:hAnsi="仿宋" w:eastAsia="仿宋_GB2312"/>
          <w:sz w:val="32"/>
          <w:szCs w:val="32"/>
          <w:lang w:val="en-US" w:eastAsia="zh-CN"/>
        </w:rPr>
        <w:t>未进行分解</w:t>
      </w:r>
      <w:r>
        <w:rPr>
          <w:rFonts w:hint="eastAsia" w:ascii="仿宋_GB2312" w:hAnsi="仿宋" w:eastAsia="仿宋_GB2312"/>
          <w:sz w:val="32"/>
          <w:szCs w:val="32"/>
        </w:rPr>
        <w:t>，</w:t>
      </w:r>
      <w:r>
        <w:rPr>
          <w:rFonts w:hint="eastAsia" w:ascii="仿宋_GB2312" w:hAnsi="仿宋" w:eastAsia="仿宋_GB2312"/>
          <w:sz w:val="32"/>
          <w:szCs w:val="32"/>
          <w:lang w:val="en-US" w:eastAsia="zh-CN"/>
        </w:rPr>
        <w:t>缺少</w:t>
      </w:r>
      <w:r>
        <w:rPr>
          <w:rFonts w:hint="eastAsia" w:ascii="仿宋" w:hAnsi="仿宋" w:eastAsia="仿宋" w:cs="仿宋"/>
          <w:sz w:val="32"/>
          <w:szCs w:val="32"/>
          <w:lang w:val="en-US" w:eastAsia="zh-CN"/>
        </w:rPr>
        <w:t>实际参保人数、新增人员的收缴费用的具体</w:t>
      </w:r>
      <w:r>
        <w:rPr>
          <w:rFonts w:hint="eastAsia" w:ascii="仿宋_GB2312" w:hAnsi="仿宋" w:eastAsia="仿宋_GB2312"/>
          <w:sz w:val="32"/>
          <w:szCs w:val="32"/>
          <w:lang w:val="en-US" w:eastAsia="zh-CN"/>
        </w:rPr>
        <w:t>进度设定</w:t>
      </w:r>
      <w:r>
        <w:rPr>
          <w:rFonts w:hint="eastAsia" w:ascii="仿宋_GB2312" w:hAnsi="仿宋" w:eastAsia="仿宋_GB2312"/>
          <w:sz w:val="32"/>
          <w:szCs w:val="32"/>
        </w:rPr>
        <w:t>，可衡量性较弱。</w:t>
      </w:r>
    </w:p>
    <w:p>
      <w:pPr>
        <w:pStyle w:val="3"/>
        <w:spacing w:line="360" w:lineRule="auto"/>
        <w:ind w:firstLine="643"/>
        <w:rPr>
          <w:rFonts w:ascii="仿宋_GB2312"/>
          <w:b/>
        </w:rPr>
      </w:pPr>
      <w:r>
        <w:rPr>
          <w:rFonts w:hint="eastAsia" w:ascii="仿宋_GB2312"/>
          <w:b/>
        </w:rPr>
        <w:t>（二）项目绩效控制评价分析</w:t>
      </w:r>
      <w:bookmarkEnd w:id="50"/>
      <w:bookmarkEnd w:id="51"/>
      <w:bookmarkEnd w:id="52"/>
      <w:bookmarkEnd w:id="53"/>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1.资金使用及管理情况</w:t>
      </w:r>
      <w:bookmarkStart w:id="54" w:name="_Toc426226423"/>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为加强财务管理，提高资金使用效益，</w:t>
      </w:r>
      <w:r>
        <w:rPr>
          <w:rFonts w:hint="eastAsia" w:ascii="仿宋_GB2312" w:eastAsia="仿宋_GB2312"/>
          <w:kern w:val="0"/>
          <w:sz w:val="32"/>
          <w:szCs w:val="32"/>
          <w:lang w:eastAsia="zh-CN"/>
        </w:rPr>
        <w:t>县医管中心</w:t>
      </w:r>
      <w:r>
        <w:rPr>
          <w:rFonts w:hint="eastAsia" w:ascii="仿宋_GB2312" w:eastAsia="仿宋_GB2312"/>
          <w:kern w:val="0"/>
          <w:sz w:val="32"/>
          <w:szCs w:val="32"/>
        </w:rPr>
        <w:t>按照《中华人民共和国预算法》进行预算资金管理和预算编报申报。</w:t>
      </w:r>
      <w:r>
        <w:rPr>
          <w:rFonts w:hint="eastAsia" w:ascii="仿宋_GB2312" w:eastAsia="仿宋_GB2312"/>
          <w:kern w:val="0"/>
          <w:sz w:val="32"/>
          <w:szCs w:val="32"/>
          <w:lang w:eastAsia="zh-CN"/>
        </w:rPr>
        <w:t>县医管中心</w:t>
      </w:r>
      <w:r>
        <w:rPr>
          <w:rFonts w:hint="eastAsia" w:ascii="仿宋_GB2312" w:eastAsia="仿宋_GB2312"/>
          <w:kern w:val="0"/>
          <w:sz w:val="32"/>
          <w:szCs w:val="32"/>
        </w:rPr>
        <w:t>制定了《</w:t>
      </w:r>
      <w:r>
        <w:rPr>
          <w:rFonts w:hint="eastAsia" w:ascii="仿宋" w:hAnsi="仿宋" w:eastAsia="仿宋" w:cs="仿宋"/>
          <w:sz w:val="32"/>
          <w:szCs w:val="32"/>
        </w:rPr>
        <w:t>香河县城乡居民</w:t>
      </w:r>
      <w:r>
        <w:rPr>
          <w:rFonts w:hint="eastAsia" w:ascii="仿宋" w:hAnsi="仿宋" w:eastAsia="仿宋" w:cs="仿宋"/>
          <w:sz w:val="32"/>
          <w:szCs w:val="32"/>
          <w:lang w:eastAsia="zh-CN"/>
        </w:rPr>
        <w:t>医疗</w:t>
      </w:r>
      <w:r>
        <w:rPr>
          <w:rFonts w:hint="eastAsia" w:ascii="仿宋" w:hAnsi="仿宋" w:eastAsia="仿宋" w:cs="仿宋"/>
          <w:sz w:val="32"/>
          <w:szCs w:val="32"/>
        </w:rPr>
        <w:t>保险</w:t>
      </w:r>
      <w:r>
        <w:rPr>
          <w:rFonts w:hint="eastAsia" w:ascii="仿宋" w:hAnsi="仿宋" w:eastAsia="仿宋" w:cs="仿宋"/>
          <w:sz w:val="32"/>
          <w:szCs w:val="32"/>
          <w:lang w:eastAsia="zh-CN"/>
        </w:rPr>
        <w:t>中心</w:t>
      </w:r>
      <w:r>
        <w:rPr>
          <w:rFonts w:hint="eastAsia" w:ascii="仿宋" w:hAnsi="仿宋" w:eastAsia="仿宋" w:cs="仿宋"/>
          <w:sz w:val="32"/>
          <w:szCs w:val="32"/>
        </w:rPr>
        <w:t>内控管理制度</w:t>
      </w:r>
      <w:r>
        <w:rPr>
          <w:rFonts w:hint="eastAsia" w:ascii="仿宋_GB2312" w:eastAsia="仿宋_GB2312"/>
          <w:kern w:val="0"/>
          <w:sz w:val="32"/>
          <w:szCs w:val="32"/>
        </w:rPr>
        <w:t>》，在实际管理过程中能够做到严格执行，保证项目资金的高效、规范管理。项目资金支出需要按照制度进行严格审核和审批，做到了专款专用、独立账目核算、无违规违纪行为发生。确保财政资金支出的安全并正确使用。</w:t>
      </w:r>
    </w:p>
    <w:p>
      <w:pPr>
        <w:spacing w:line="360" w:lineRule="auto"/>
        <w:ind w:firstLine="672" w:firstLineChars="210"/>
        <w:rPr>
          <w:rFonts w:hint="eastAsia" w:ascii="仿宋_GB2312" w:eastAsia="仿宋_GB2312"/>
          <w:sz w:val="32"/>
          <w:szCs w:val="32"/>
          <w:lang w:eastAsia="zh-CN"/>
        </w:rPr>
      </w:pPr>
      <w:r>
        <w:rPr>
          <w:rFonts w:hint="eastAsia" w:ascii="仿宋_GB2312" w:hAnsi="Arial" w:eastAsia="仿宋_GB2312" w:cs="仿宋_GB2312"/>
          <w:sz w:val="32"/>
          <w:szCs w:val="32"/>
        </w:rPr>
        <w:t>该项目预算总投入资金</w:t>
      </w:r>
      <w:r>
        <w:rPr>
          <w:rFonts w:hint="eastAsia" w:ascii="仿宋_GB2312" w:hAnsi="Arial" w:eastAsia="仿宋_GB2312" w:cs="仿宋_GB2312"/>
          <w:sz w:val="32"/>
          <w:szCs w:val="32"/>
          <w:lang w:val="en-US" w:eastAsia="zh-CN"/>
        </w:rPr>
        <w:t>3410.00</w:t>
      </w:r>
      <w:r>
        <w:rPr>
          <w:rFonts w:hint="eastAsia" w:ascii="仿宋_GB2312" w:hAnsi="Arial" w:eastAsia="仿宋_GB2312" w:cs="仿宋_GB2312"/>
          <w:sz w:val="32"/>
          <w:szCs w:val="32"/>
        </w:rPr>
        <w:t>万元，为财政资金全额拨款。县财政局财政预算批复资金</w:t>
      </w:r>
      <w:r>
        <w:rPr>
          <w:rFonts w:hint="eastAsia" w:ascii="仿宋_GB2312" w:hAnsi="宋体" w:eastAsia="仿宋_GB2312"/>
          <w:sz w:val="32"/>
          <w:szCs w:val="32"/>
          <w:lang w:val="en-US" w:eastAsia="zh-CN"/>
        </w:rPr>
        <w:t>3410.00</w:t>
      </w:r>
      <w:r>
        <w:rPr>
          <w:rFonts w:hint="eastAsia" w:ascii="仿宋_GB2312" w:hAnsi="Arial" w:eastAsia="仿宋_GB2312" w:cs="仿宋_GB2312"/>
          <w:sz w:val="32"/>
          <w:szCs w:val="32"/>
        </w:rPr>
        <w:t>万元，实际到位资金</w:t>
      </w:r>
      <w:r>
        <w:rPr>
          <w:rFonts w:hint="eastAsia" w:ascii="仿宋_GB2312" w:hAnsi="宋体" w:eastAsia="仿宋_GB2312"/>
          <w:sz w:val="32"/>
          <w:szCs w:val="32"/>
          <w:lang w:val="en-US" w:eastAsia="zh-CN"/>
        </w:rPr>
        <w:t>3136.3446</w:t>
      </w:r>
      <w:r>
        <w:rPr>
          <w:rFonts w:hint="eastAsia" w:ascii="仿宋_GB2312" w:hAnsi="Arial" w:eastAsia="仿宋_GB2312" w:cs="仿宋_GB2312"/>
          <w:sz w:val="32"/>
          <w:szCs w:val="32"/>
        </w:rPr>
        <w:t>万元，截至20</w:t>
      </w:r>
      <w:r>
        <w:rPr>
          <w:rFonts w:hint="eastAsia" w:ascii="仿宋_GB2312" w:hAnsi="Arial" w:eastAsia="仿宋_GB2312" w:cs="仿宋_GB2312"/>
          <w:sz w:val="32"/>
          <w:szCs w:val="32"/>
          <w:lang w:val="en-US" w:eastAsia="zh-CN"/>
        </w:rPr>
        <w:t>19</w:t>
      </w:r>
      <w:r>
        <w:rPr>
          <w:rFonts w:hint="eastAsia" w:ascii="仿宋_GB2312" w:hAnsi="Arial" w:eastAsia="仿宋_GB2312" w:cs="仿宋_GB2312"/>
          <w:sz w:val="32"/>
          <w:szCs w:val="32"/>
        </w:rPr>
        <w:t>年</w:t>
      </w:r>
      <w:r>
        <w:rPr>
          <w:rFonts w:hint="eastAsia" w:ascii="仿宋_GB2312" w:hAnsi="Arial" w:eastAsia="仿宋_GB2312" w:cs="仿宋_GB2312"/>
          <w:sz w:val="32"/>
          <w:szCs w:val="32"/>
          <w:lang w:val="en-US" w:eastAsia="zh-CN"/>
        </w:rPr>
        <w:t>12</w:t>
      </w:r>
      <w:r>
        <w:rPr>
          <w:rFonts w:hint="eastAsia" w:ascii="仿宋_GB2312" w:hAnsi="Arial" w:eastAsia="仿宋_GB2312" w:cs="仿宋_GB2312"/>
          <w:sz w:val="32"/>
          <w:szCs w:val="32"/>
        </w:rPr>
        <w:t>月31日使用资金</w:t>
      </w:r>
      <w:r>
        <w:rPr>
          <w:rFonts w:hint="eastAsia" w:ascii="仿宋_GB2312" w:hAnsi="宋体" w:eastAsia="仿宋_GB2312"/>
          <w:sz w:val="32"/>
          <w:szCs w:val="32"/>
          <w:lang w:val="en-US" w:eastAsia="zh-CN"/>
        </w:rPr>
        <w:t>3136.3446</w:t>
      </w:r>
      <w:r>
        <w:rPr>
          <w:rFonts w:hint="eastAsia" w:ascii="仿宋_GB2312" w:eastAsia="仿宋_GB2312"/>
          <w:sz w:val="32"/>
          <w:szCs w:val="32"/>
        </w:rPr>
        <w:t>万元。预算执行率</w:t>
      </w:r>
      <w:r>
        <w:rPr>
          <w:rFonts w:hint="eastAsia" w:ascii="仿宋_GB2312" w:hAnsi="宋体" w:eastAsia="仿宋_GB2312"/>
          <w:sz w:val="32"/>
          <w:szCs w:val="32"/>
          <w:lang w:val="en-US" w:eastAsia="zh-CN"/>
        </w:rPr>
        <w:t>91.97</w:t>
      </w:r>
      <w:r>
        <w:rPr>
          <w:rFonts w:hint="eastAsia" w:ascii="仿宋_GB2312" w:eastAsia="仿宋_GB2312"/>
          <w:sz w:val="32"/>
          <w:szCs w:val="32"/>
        </w:rPr>
        <w:t>%</w:t>
      </w:r>
      <w:r>
        <w:rPr>
          <w:rFonts w:hint="eastAsia" w:ascii="仿宋_GB2312" w:eastAsia="仿宋_GB2312"/>
          <w:sz w:val="32"/>
          <w:szCs w:val="32"/>
          <w:lang w:eastAsia="zh-CN"/>
        </w:rPr>
        <w:t>。</w:t>
      </w:r>
    </w:p>
    <w:p>
      <w:pPr>
        <w:spacing w:line="360" w:lineRule="auto"/>
        <w:ind w:firstLine="672" w:firstLineChars="210"/>
        <w:rPr>
          <w:rFonts w:ascii="仿宋_GB2312" w:eastAsia="仿宋_GB2312"/>
          <w:kern w:val="0"/>
          <w:sz w:val="32"/>
          <w:szCs w:val="32"/>
        </w:rPr>
      </w:pPr>
      <w:r>
        <w:rPr>
          <w:rFonts w:hint="eastAsia" w:ascii="仿宋_GB2312" w:eastAsia="仿宋_GB2312"/>
          <w:kern w:val="0"/>
          <w:sz w:val="32"/>
          <w:szCs w:val="32"/>
        </w:rPr>
        <w:t>项目单位的财务管理制度基本健全，项目单位按照项目预算内容执行。但项目预算编制依据</w:t>
      </w:r>
      <w:r>
        <w:rPr>
          <w:rFonts w:hint="eastAsia" w:ascii="仿宋_GB2312" w:eastAsia="仿宋_GB2312"/>
          <w:kern w:val="0"/>
          <w:sz w:val="32"/>
          <w:szCs w:val="32"/>
          <w:lang w:val="en-US" w:eastAsia="zh-CN"/>
        </w:rPr>
        <w:t>不够明确</w:t>
      </w:r>
      <w:r>
        <w:rPr>
          <w:rFonts w:hint="eastAsia" w:ascii="仿宋_GB2312" w:eastAsia="仿宋_GB2312"/>
          <w:kern w:val="0"/>
          <w:sz w:val="32"/>
          <w:szCs w:val="32"/>
        </w:rPr>
        <w:t>、预算明细有待进一步细化。资金构成不明确，缺少预算明细，具体执行及结余情况没有明确说明。</w:t>
      </w:r>
    </w:p>
    <w:p>
      <w:pPr>
        <w:spacing w:line="360" w:lineRule="auto"/>
        <w:ind w:firstLine="672" w:firstLineChars="210"/>
        <w:rPr>
          <w:rFonts w:ascii="仿宋_GB2312" w:eastAsia="仿宋_GB2312"/>
          <w:kern w:val="0"/>
          <w:sz w:val="32"/>
          <w:szCs w:val="32"/>
        </w:rPr>
      </w:pPr>
      <w:r>
        <w:rPr>
          <w:rFonts w:hint="eastAsia" w:ascii="仿宋_GB2312" w:eastAsia="仿宋_GB2312"/>
          <w:kern w:val="0"/>
          <w:sz w:val="32"/>
          <w:szCs w:val="32"/>
        </w:rPr>
        <w:t>评价认为，</w:t>
      </w:r>
      <w:bookmarkEnd w:id="54"/>
      <w:bookmarkStart w:id="55" w:name="_Toc365968757"/>
      <w:r>
        <w:rPr>
          <w:rFonts w:hint="eastAsia" w:ascii="仿宋_GB2312" w:eastAsia="仿宋_GB2312"/>
          <w:kern w:val="0"/>
          <w:sz w:val="32"/>
          <w:szCs w:val="32"/>
        </w:rPr>
        <w:t>财务管理制度基本健全</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但</w:t>
      </w:r>
      <w:r>
        <w:rPr>
          <w:rFonts w:hint="eastAsia" w:ascii="仿宋_GB2312" w:eastAsia="仿宋_GB2312"/>
          <w:kern w:val="0"/>
          <w:sz w:val="32"/>
          <w:szCs w:val="32"/>
        </w:rPr>
        <w:t>项目预算编制的科学性、合理性有待改进，资金构成不明确。</w:t>
      </w:r>
    </w:p>
    <w:p>
      <w:pPr>
        <w:spacing w:line="360" w:lineRule="auto"/>
        <w:ind w:firstLine="672" w:firstLineChars="210"/>
        <w:rPr>
          <w:rFonts w:ascii="仿宋_GB2312" w:eastAsia="仿宋_GB2312"/>
          <w:bCs/>
          <w:kern w:val="44"/>
          <w:sz w:val="32"/>
          <w:szCs w:val="32"/>
        </w:rPr>
      </w:pPr>
      <w:bookmarkStart w:id="56" w:name="_Toc426226424"/>
      <w:r>
        <w:rPr>
          <w:rFonts w:hint="eastAsia" w:ascii="仿宋_GB2312" w:eastAsia="仿宋_GB2312"/>
          <w:bCs/>
          <w:kern w:val="44"/>
          <w:sz w:val="32"/>
          <w:szCs w:val="32"/>
        </w:rPr>
        <w:t>2.项目组织情况</w:t>
      </w:r>
      <w:bookmarkEnd w:id="56"/>
    </w:p>
    <w:p>
      <w:pPr>
        <w:spacing w:line="360" w:lineRule="auto"/>
        <w:ind w:firstLine="640" w:firstLineChars="200"/>
        <w:rPr>
          <w:rFonts w:hint="eastAsia" w:ascii="仿宋_GB2312" w:eastAsia="仿宋_GB2312"/>
          <w:kern w:val="10"/>
          <w:sz w:val="32"/>
          <w:szCs w:val="32"/>
        </w:rPr>
      </w:pPr>
      <w:r>
        <w:rPr>
          <w:rFonts w:hint="eastAsia" w:ascii="仿宋_GB2312" w:eastAsia="仿宋_GB2312"/>
          <w:kern w:val="10"/>
          <w:sz w:val="32"/>
          <w:szCs w:val="32"/>
        </w:rPr>
        <w:t>为了保障项目的组织实施，</w:t>
      </w:r>
      <w:r>
        <w:rPr>
          <w:rFonts w:hint="eastAsia" w:ascii="仿宋_GB2312" w:eastAsia="仿宋_GB2312"/>
          <w:kern w:val="10"/>
          <w:sz w:val="32"/>
          <w:szCs w:val="32"/>
          <w:lang w:val="en-US" w:eastAsia="zh-CN"/>
        </w:rPr>
        <w:t>县医管中心</w:t>
      </w:r>
      <w:r>
        <w:rPr>
          <w:rFonts w:hint="eastAsia" w:ascii="仿宋_GB2312" w:eastAsia="仿宋_GB2312"/>
          <w:kern w:val="10"/>
          <w:sz w:val="32"/>
          <w:szCs w:val="32"/>
        </w:rPr>
        <w:t>设置岗位，配备人员，人尽其责，并遵守不相容职务相互分离原则，在业务经办过程中，履行“一事两岗两审”制度，每项业务经办有两人或两人以上经手签字，建立了经办、审核、复核的岗位制约机制。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评价认为，</w:t>
      </w:r>
      <w:r>
        <w:rPr>
          <w:rFonts w:hint="eastAsia" w:ascii="仿宋_GB2312" w:eastAsia="仿宋_GB2312"/>
          <w:sz w:val="32"/>
          <w:szCs w:val="32"/>
          <w:lang w:val="en-US" w:eastAsia="zh-CN"/>
        </w:rPr>
        <w:t>县医管中心</w:t>
      </w:r>
      <w:r>
        <w:rPr>
          <w:rFonts w:hint="eastAsia" w:ascii="仿宋_GB2312" w:eastAsia="仿宋_GB2312"/>
          <w:sz w:val="32"/>
          <w:szCs w:val="32"/>
        </w:rPr>
        <w:t>项目</w:t>
      </w:r>
      <w:r>
        <w:rPr>
          <w:rFonts w:hint="eastAsia" w:ascii="仿宋_GB2312" w:hAnsi="Arial" w:eastAsia="仿宋_GB2312" w:cs="仿宋_GB2312"/>
          <w:sz w:val="32"/>
          <w:szCs w:val="32"/>
        </w:rPr>
        <w:t>作为项目主责单位，能够确保项目的顺利实施。</w:t>
      </w:r>
      <w:r>
        <w:rPr>
          <w:rFonts w:hint="eastAsia" w:ascii="仿宋_GB2312" w:hAnsi="Arial" w:eastAsia="仿宋_GB2312" w:cs="仿宋_GB2312"/>
          <w:sz w:val="32"/>
          <w:szCs w:val="32"/>
          <w:lang w:val="en-US" w:eastAsia="zh-CN"/>
        </w:rPr>
        <w:t>但县医管中心的职责分工不够明确，未进行责任具体化，未将项目主体责任、项目组织管理责任、项目过程监督管理责任等项目责任落实到人</w:t>
      </w:r>
      <w:r>
        <w:rPr>
          <w:rFonts w:hint="eastAsia" w:ascii="仿宋_GB2312" w:hAnsi="仿宋" w:eastAsia="仿宋_GB2312"/>
          <w:sz w:val="32"/>
          <w:szCs w:val="32"/>
        </w:rPr>
        <w:t>。</w:t>
      </w:r>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3.项目管理情况</w:t>
      </w:r>
    </w:p>
    <w:p>
      <w:pPr>
        <w:spacing w:line="360" w:lineRule="auto"/>
        <w:ind w:firstLine="640" w:firstLineChars="200"/>
        <w:rPr>
          <w:rFonts w:hint="default" w:ascii="仿宋_GB2312" w:eastAsia="仿宋_GB2312"/>
          <w:bCs/>
          <w:kern w:val="44"/>
          <w:sz w:val="32"/>
          <w:szCs w:val="32"/>
          <w:lang w:val="en-US" w:eastAsia="zh-CN"/>
        </w:rPr>
      </w:pPr>
      <w:r>
        <w:rPr>
          <w:rFonts w:hint="eastAsia" w:ascii="仿宋_GB2312" w:eastAsia="仿宋_GB2312"/>
          <w:bCs/>
          <w:kern w:val="44"/>
          <w:sz w:val="32"/>
          <w:szCs w:val="32"/>
        </w:rPr>
        <w:t>为保障项目的实施效果，</w:t>
      </w:r>
      <w:r>
        <w:rPr>
          <w:rFonts w:hint="eastAsia" w:ascii="仿宋_GB2312" w:eastAsia="仿宋_GB2312"/>
          <w:sz w:val="32"/>
          <w:szCs w:val="32"/>
          <w:lang w:eastAsia="zh-CN"/>
        </w:rPr>
        <w:t>县医管中心</w:t>
      </w:r>
      <w:r>
        <w:rPr>
          <w:rFonts w:hint="eastAsia" w:ascii="仿宋_GB2312" w:eastAsia="仿宋_GB2312"/>
          <w:sz w:val="32"/>
          <w:szCs w:val="32"/>
        </w:rPr>
        <w:t>制定了《</w:t>
      </w:r>
      <w:r>
        <w:rPr>
          <w:rFonts w:hint="eastAsia" w:ascii="仿宋_GB2312" w:eastAsia="仿宋_GB2312"/>
          <w:sz w:val="32"/>
          <w:szCs w:val="32"/>
          <w:lang w:val="en-US" w:eastAsia="zh-CN"/>
        </w:rPr>
        <w:t>香河县城乡居民医保业务工作规范手册</w:t>
      </w:r>
      <w:r>
        <w:rPr>
          <w:rFonts w:hint="eastAsia" w:ascii="仿宋_GB2312" w:eastAsia="仿宋_GB2312"/>
          <w:sz w:val="32"/>
          <w:szCs w:val="32"/>
        </w:rPr>
        <w:t>》及《项目实施方案》等相关管理文件</w:t>
      </w:r>
      <w:r>
        <w:rPr>
          <w:rFonts w:hint="eastAsia" w:ascii="仿宋_GB2312" w:eastAsia="仿宋_GB2312"/>
          <w:bCs/>
          <w:kern w:val="44"/>
          <w:sz w:val="32"/>
          <w:szCs w:val="32"/>
          <w:lang w:eastAsia="zh-CN"/>
        </w:rPr>
        <w:t>，</w:t>
      </w:r>
      <w:r>
        <w:rPr>
          <w:rFonts w:hint="eastAsia" w:ascii="仿宋_GB2312" w:eastAsia="仿宋_GB2312"/>
          <w:bCs/>
          <w:kern w:val="44"/>
          <w:sz w:val="32"/>
          <w:szCs w:val="32"/>
          <w:lang w:val="en-US" w:eastAsia="zh-CN"/>
        </w:rPr>
        <w:t>明确了工作管理等相关要求，监督项目整体实施情况，确保了项目有序地开展。</w:t>
      </w:r>
    </w:p>
    <w:p>
      <w:pPr>
        <w:spacing w:line="360" w:lineRule="auto"/>
        <w:ind w:firstLine="672" w:firstLineChars="210"/>
        <w:rPr>
          <w:rFonts w:ascii="仿宋_GB2312" w:hAnsi="仿宋" w:eastAsia="仿宋_GB2312"/>
          <w:sz w:val="32"/>
          <w:szCs w:val="32"/>
        </w:rPr>
      </w:pPr>
      <w:r>
        <w:rPr>
          <w:rFonts w:hint="eastAsia" w:ascii="仿宋_GB2312" w:hAnsi="仿宋" w:eastAsia="仿宋_GB2312"/>
          <w:sz w:val="32"/>
          <w:szCs w:val="32"/>
        </w:rPr>
        <w:t>评价认为，项目管理的严谨性支撑资料不够完整，项目管理科学性、规范性不足。项目实施方案不够全面，缺少针对项目的组织保障及责任分工、实施进度计划、单位监督管控措施以及风险防控方面的管理内容。</w:t>
      </w:r>
    </w:p>
    <w:p>
      <w:pPr>
        <w:spacing w:line="360" w:lineRule="auto"/>
        <w:ind w:firstLine="672" w:firstLineChars="210"/>
        <w:rPr>
          <w:rFonts w:hint="eastAsia" w:ascii="仿宋_GB2312" w:hAnsi="仿宋" w:eastAsia="仿宋_GB2312"/>
          <w:sz w:val="32"/>
          <w:szCs w:val="32"/>
          <w:lang w:eastAsia="zh-CN"/>
        </w:rPr>
      </w:pPr>
      <w:r>
        <w:rPr>
          <w:rFonts w:hint="eastAsia" w:ascii="仿宋_GB2312" w:hAnsi="仿宋" w:eastAsia="仿宋_GB2312"/>
          <w:sz w:val="32"/>
          <w:szCs w:val="32"/>
        </w:rPr>
        <w:t>项目管理过程体现不够充分，</w:t>
      </w:r>
      <w:r>
        <w:rPr>
          <w:rFonts w:hint="eastAsia" w:ascii="仿宋_GB2312" w:eastAsia="仿宋_GB2312"/>
          <w:bCs/>
          <w:kern w:val="44"/>
          <w:sz w:val="32"/>
          <w:szCs w:val="32"/>
          <w:lang w:eastAsia="zh-CN"/>
        </w:rPr>
        <w:t>缺少业务培训和履职的监督管理</w:t>
      </w:r>
      <w:r>
        <w:rPr>
          <w:rFonts w:hint="eastAsia" w:ascii="仿宋_GB2312" w:eastAsia="仿宋_GB2312"/>
          <w:bCs/>
          <w:kern w:val="44"/>
          <w:sz w:val="32"/>
          <w:szCs w:val="32"/>
          <w:lang w:val="en-US" w:eastAsia="zh-CN"/>
        </w:rPr>
        <w:t>支撑</w:t>
      </w:r>
      <w:r>
        <w:rPr>
          <w:rFonts w:hint="eastAsia" w:ascii="仿宋_GB2312" w:eastAsia="仿宋_GB2312"/>
          <w:bCs/>
          <w:kern w:val="44"/>
          <w:sz w:val="32"/>
          <w:szCs w:val="32"/>
          <w:lang w:eastAsia="zh-CN"/>
        </w:rPr>
        <w:t>资料</w:t>
      </w:r>
      <w:r>
        <w:rPr>
          <w:rFonts w:hint="eastAsia" w:ascii="仿宋_GB2312" w:hAnsi="仿宋" w:eastAsia="仿宋_GB2312"/>
          <w:sz w:val="32"/>
          <w:szCs w:val="32"/>
        </w:rPr>
        <w:t>。</w:t>
      </w:r>
      <w:r>
        <w:rPr>
          <w:rFonts w:hint="eastAsia" w:ascii="仿宋_GB2312" w:hAnsi="仿宋" w:eastAsia="仿宋_GB2312"/>
          <w:sz w:val="32"/>
          <w:szCs w:val="32"/>
          <w:lang w:val="en-US" w:eastAsia="zh-CN"/>
        </w:rPr>
        <w:t>绩效报告中</w:t>
      </w:r>
      <w:r>
        <w:rPr>
          <w:rFonts w:hint="eastAsia" w:ascii="仿宋_GB2312" w:hAnsi="仿宋" w:eastAsia="仿宋_GB2312"/>
          <w:sz w:val="32"/>
          <w:szCs w:val="32"/>
        </w:rPr>
        <w:t>“全年开展了4次自检，迎接市、县局的基金检查2次，得到充分肯定和好评”、“定期与经办银行、县财政、内部各业务股室对账制度，确保账实相符。”的反映资料不足</w:t>
      </w:r>
      <w:r>
        <w:rPr>
          <w:rFonts w:hint="eastAsia" w:ascii="仿宋_GB2312" w:hAnsi="仿宋" w:eastAsia="仿宋_GB2312"/>
          <w:sz w:val="32"/>
          <w:szCs w:val="32"/>
          <w:lang w:eastAsia="zh-CN"/>
        </w:rPr>
        <w:t>。</w:t>
      </w:r>
    </w:p>
    <w:p>
      <w:pPr>
        <w:pStyle w:val="3"/>
        <w:spacing w:line="360" w:lineRule="auto"/>
        <w:ind w:firstLine="643"/>
        <w:rPr>
          <w:rFonts w:ascii="仿宋_GB2312"/>
          <w:b/>
        </w:rPr>
      </w:pPr>
      <w:bookmarkStart w:id="57" w:name="_Toc426246483"/>
      <w:bookmarkStart w:id="58" w:name="_Toc25565"/>
      <w:bookmarkStart w:id="59" w:name="_Toc426226425"/>
      <w:r>
        <w:rPr>
          <w:rFonts w:hint="eastAsia" w:ascii="仿宋_GB2312"/>
          <w:b/>
        </w:rPr>
        <w:t>（三）项目产出及效果评价分析</w:t>
      </w:r>
      <w:bookmarkEnd w:id="55"/>
      <w:bookmarkEnd w:id="57"/>
      <w:bookmarkEnd w:id="58"/>
      <w:bookmarkEnd w:id="59"/>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1.项目经济性分析</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为保障财政资金支出的有效性和经济性，项目单位</w:t>
      </w:r>
      <w:r>
        <w:rPr>
          <w:rFonts w:hint="eastAsia" w:ascii="仿宋_GB2312" w:eastAsia="仿宋_GB2312"/>
          <w:sz w:val="32"/>
          <w:szCs w:val="32"/>
          <w:lang w:val="en-US" w:eastAsia="zh-CN"/>
        </w:rPr>
        <w:t>依据《香河县医疗保障局党组会会议纪要》（香医保纪要〔2019〕9号）的要求，每人补贴110元筹集资金，所筹资金全部上缴至市级财政专户，无虚报参保人数、套取上级财政补助资金的问题发生</w:t>
      </w:r>
      <w:r>
        <w:rPr>
          <w:rFonts w:hint="eastAsia" w:ascii="仿宋_GB2312" w:eastAsia="仿宋_GB2312"/>
          <w:sz w:val="32"/>
          <w:szCs w:val="32"/>
        </w:rPr>
        <w:t>。</w:t>
      </w:r>
    </w:p>
    <w:p>
      <w:pPr>
        <w:spacing w:line="360" w:lineRule="auto"/>
        <w:ind w:firstLine="616" w:firstLineChars="200"/>
        <w:rPr>
          <w:rFonts w:ascii="仿宋_GB2312" w:hAnsi="Times New Roman" w:eastAsia="仿宋_GB2312"/>
          <w:spacing w:val="-6"/>
          <w:sz w:val="32"/>
          <w:szCs w:val="32"/>
        </w:rPr>
      </w:pPr>
      <w:r>
        <w:rPr>
          <w:rFonts w:hint="eastAsia" w:ascii="仿宋_GB2312" w:hAnsi="Times New Roman" w:eastAsia="仿宋_GB2312"/>
          <w:spacing w:val="-6"/>
          <w:sz w:val="32"/>
          <w:szCs w:val="32"/>
        </w:rPr>
        <w:t>评价认为，</w:t>
      </w:r>
      <w:r>
        <w:rPr>
          <w:rFonts w:hint="eastAsia" w:ascii="仿宋_GB2312" w:hAnsi="Times New Roman" w:eastAsia="仿宋_GB2312"/>
          <w:spacing w:val="-6"/>
          <w:sz w:val="32"/>
          <w:szCs w:val="32"/>
          <w:lang w:val="en-US" w:eastAsia="zh-CN"/>
        </w:rPr>
        <w:t>县医管中心</w:t>
      </w:r>
      <w:r>
        <w:rPr>
          <w:rFonts w:hint="eastAsia" w:ascii="仿宋_GB2312" w:hAnsi="Times New Roman" w:eastAsia="仿宋_GB2312"/>
          <w:spacing w:val="-6"/>
          <w:sz w:val="32"/>
          <w:szCs w:val="32"/>
        </w:rPr>
        <w:t>按照市级基金财务管理制度的要求将个人缴费和政府补助收入全部上缴市级财政专户管理,各项基金支出由市级专户合理调度使用</w:t>
      </w:r>
      <w:r>
        <w:rPr>
          <w:rFonts w:hint="eastAsia" w:ascii="仿宋_GB2312" w:hAnsi="Times New Roman" w:eastAsia="仿宋_GB2312"/>
          <w:spacing w:val="-6"/>
          <w:sz w:val="32"/>
          <w:szCs w:val="32"/>
          <w:lang w:eastAsia="zh-CN"/>
        </w:rPr>
        <w:t>，</w:t>
      </w:r>
      <w:r>
        <w:rPr>
          <w:rFonts w:hint="eastAsia" w:ascii="仿宋_GB2312" w:hAnsi="Times New Roman" w:eastAsia="仿宋_GB2312"/>
          <w:spacing w:val="-6"/>
          <w:sz w:val="32"/>
          <w:szCs w:val="32"/>
          <w:lang w:val="en-US" w:eastAsia="zh-CN"/>
        </w:rPr>
        <w:t>执行了成本控制措施。</w:t>
      </w:r>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2.项目效率性分析</w:t>
      </w:r>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（1）项目实施进度</w:t>
      </w:r>
    </w:p>
    <w:p>
      <w:pPr>
        <w:spacing w:line="360" w:lineRule="auto"/>
        <w:ind w:firstLine="616" w:firstLineChars="200"/>
        <w:rPr>
          <w:rFonts w:ascii="仿宋_GB2312" w:eastAsia="仿宋_GB2312"/>
          <w:bCs/>
          <w:kern w:val="44"/>
          <w:sz w:val="32"/>
          <w:szCs w:val="32"/>
          <w:highlight w:val="green"/>
        </w:rPr>
      </w:pPr>
      <w:r>
        <w:rPr>
          <w:rFonts w:hint="eastAsia" w:ascii="仿宋_GB2312" w:hAnsi="Times New Roman" w:eastAsia="仿宋_GB2312"/>
          <w:spacing w:val="-6"/>
          <w:sz w:val="32"/>
          <w:szCs w:val="32"/>
        </w:rPr>
        <w:t>截至20</w:t>
      </w:r>
      <w:r>
        <w:rPr>
          <w:rFonts w:hint="eastAsia" w:ascii="仿宋_GB2312" w:hAnsi="Times New Roman" w:eastAsia="仿宋_GB2312"/>
          <w:spacing w:val="-6"/>
          <w:sz w:val="32"/>
          <w:szCs w:val="32"/>
          <w:lang w:val="en-US" w:eastAsia="zh-CN"/>
        </w:rPr>
        <w:t>19</w:t>
      </w:r>
      <w:r>
        <w:rPr>
          <w:rFonts w:hint="eastAsia" w:ascii="仿宋_GB2312" w:hAnsi="Times New Roman" w:eastAsia="仿宋_GB2312"/>
          <w:spacing w:val="-6"/>
          <w:sz w:val="32"/>
          <w:szCs w:val="32"/>
        </w:rPr>
        <w:t>年</w:t>
      </w:r>
      <w:r>
        <w:rPr>
          <w:rFonts w:hint="eastAsia" w:ascii="仿宋_GB2312" w:hAnsi="Times New Roman" w:eastAsia="仿宋_GB2312"/>
          <w:spacing w:val="-6"/>
          <w:sz w:val="32"/>
          <w:szCs w:val="32"/>
          <w:lang w:val="en-US" w:eastAsia="zh-CN"/>
        </w:rPr>
        <w:t>12</w:t>
      </w:r>
      <w:r>
        <w:rPr>
          <w:rFonts w:hint="eastAsia" w:ascii="仿宋_GB2312" w:hAnsi="Times New Roman" w:eastAsia="仿宋_GB2312"/>
          <w:spacing w:val="-6"/>
          <w:sz w:val="32"/>
          <w:szCs w:val="32"/>
        </w:rPr>
        <w:t>月31日，</w:t>
      </w:r>
      <w:r>
        <w:rPr>
          <w:rFonts w:hint="eastAsia" w:ascii="仿宋_GB2312" w:hAnsi="Times New Roman" w:eastAsia="仿宋_GB2312"/>
          <w:spacing w:val="-6"/>
          <w:sz w:val="32"/>
          <w:szCs w:val="32"/>
          <w:lang w:val="en-US" w:eastAsia="zh-CN"/>
        </w:rPr>
        <w:t>县医管中心于</w:t>
      </w:r>
      <w:r>
        <w:rPr>
          <w:rFonts w:hint="eastAsia" w:ascii="仿宋_GB2312" w:hAnsi="仿宋" w:eastAsia="仿宋_GB2312" w:cs="仿宋"/>
          <w:color w:val="000000"/>
          <w:kern w:val="0"/>
          <w:sz w:val="32"/>
          <w:szCs w:val="32"/>
        </w:rPr>
        <w:t>20</w:t>
      </w:r>
      <w:r>
        <w:rPr>
          <w:rFonts w:hint="eastAsia" w:ascii="仿宋_GB2312" w:hAnsi="仿宋" w:eastAsia="仿宋_GB2312" w:cs="仿宋"/>
          <w:color w:val="000000"/>
          <w:kern w:val="0"/>
          <w:sz w:val="32"/>
          <w:szCs w:val="32"/>
          <w:lang w:val="en-US" w:eastAsia="zh-CN"/>
        </w:rPr>
        <w:t>19</w:t>
      </w:r>
      <w:r>
        <w:rPr>
          <w:rFonts w:hint="eastAsia" w:ascii="仿宋_GB2312" w:hAnsi="仿宋" w:eastAsia="仿宋_GB2312" w:cs="仿宋"/>
          <w:color w:val="000000"/>
          <w:kern w:val="0"/>
          <w:sz w:val="32"/>
          <w:szCs w:val="32"/>
        </w:rPr>
        <w:t>年</w:t>
      </w:r>
      <w:r>
        <w:rPr>
          <w:rFonts w:hint="eastAsia" w:ascii="仿宋_GB2312" w:hAnsi="仿宋" w:eastAsia="仿宋_GB2312" w:cs="仿宋"/>
          <w:color w:val="000000"/>
          <w:kern w:val="0"/>
          <w:sz w:val="32"/>
          <w:szCs w:val="32"/>
          <w:lang w:val="en-US" w:eastAsia="zh-CN"/>
        </w:rPr>
        <w:t>6</w:t>
      </w:r>
      <w:r>
        <w:rPr>
          <w:rFonts w:hint="eastAsia" w:ascii="仿宋_GB2312" w:hAnsi="仿宋" w:eastAsia="仿宋_GB2312" w:cs="仿宋"/>
          <w:color w:val="000000"/>
          <w:kern w:val="0"/>
          <w:sz w:val="32"/>
          <w:szCs w:val="32"/>
        </w:rPr>
        <w:t>月按实际参保人数</w:t>
      </w:r>
      <w:r>
        <w:rPr>
          <w:rFonts w:hint="eastAsia" w:ascii="仿宋_GB2312" w:hAnsi="仿宋" w:eastAsia="仿宋_GB2312" w:cs="仿宋"/>
          <w:color w:val="000000"/>
          <w:kern w:val="0"/>
          <w:sz w:val="32"/>
          <w:szCs w:val="32"/>
          <w:lang w:val="en-US" w:eastAsia="zh-CN"/>
        </w:rPr>
        <w:t>收缴</w:t>
      </w:r>
      <w:r>
        <w:rPr>
          <w:rFonts w:hint="eastAsia" w:ascii="仿宋_GB2312" w:hAnsi="仿宋" w:eastAsia="仿宋_GB2312" w:cs="仿宋"/>
          <w:color w:val="000000"/>
          <w:kern w:val="0"/>
          <w:sz w:val="32"/>
          <w:szCs w:val="32"/>
        </w:rPr>
        <w:t>县级财政补助资金；201</w:t>
      </w:r>
      <w:r>
        <w:rPr>
          <w:rFonts w:hint="eastAsia" w:ascii="仿宋_GB2312" w:hAnsi="仿宋" w:eastAsia="仿宋_GB2312" w:cs="仿宋"/>
          <w:color w:val="000000"/>
          <w:kern w:val="0"/>
          <w:sz w:val="32"/>
          <w:szCs w:val="32"/>
          <w:lang w:val="en-US" w:eastAsia="zh-CN"/>
        </w:rPr>
        <w:t>9</w:t>
      </w:r>
      <w:r>
        <w:rPr>
          <w:rFonts w:hint="eastAsia" w:ascii="仿宋_GB2312" w:hAnsi="仿宋" w:eastAsia="仿宋_GB2312" w:cs="仿宋"/>
          <w:color w:val="000000"/>
          <w:kern w:val="0"/>
          <w:sz w:val="32"/>
          <w:szCs w:val="32"/>
        </w:rPr>
        <w:t>年</w:t>
      </w:r>
      <w:r>
        <w:rPr>
          <w:rFonts w:hint="eastAsia" w:ascii="仿宋_GB2312" w:hAnsi="仿宋" w:eastAsia="仿宋_GB2312" w:cs="仿宋"/>
          <w:color w:val="000000"/>
          <w:kern w:val="0"/>
          <w:sz w:val="32"/>
          <w:szCs w:val="32"/>
          <w:lang w:val="en-US" w:eastAsia="zh-CN"/>
        </w:rPr>
        <w:t>9</w:t>
      </w:r>
      <w:r>
        <w:rPr>
          <w:rFonts w:hint="eastAsia" w:ascii="仿宋_GB2312" w:hAnsi="仿宋" w:eastAsia="仿宋_GB2312" w:cs="仿宋"/>
          <w:color w:val="000000"/>
          <w:kern w:val="0"/>
          <w:sz w:val="32"/>
          <w:szCs w:val="32"/>
        </w:rPr>
        <w:t>月按新增</w:t>
      </w:r>
      <w:r>
        <w:rPr>
          <w:rFonts w:hint="eastAsia" w:ascii="仿宋_GB2312" w:hAnsi="仿宋" w:eastAsia="仿宋_GB2312" w:cs="仿宋"/>
          <w:color w:val="000000"/>
          <w:kern w:val="0"/>
          <w:sz w:val="32"/>
          <w:szCs w:val="32"/>
          <w:lang w:val="en-US" w:eastAsia="zh-CN"/>
        </w:rPr>
        <w:t>人数收缴</w:t>
      </w:r>
      <w:r>
        <w:rPr>
          <w:rFonts w:hint="eastAsia" w:ascii="仿宋_GB2312" w:hAnsi="仿宋" w:eastAsia="仿宋_GB2312" w:cs="仿宋"/>
          <w:color w:val="000000"/>
          <w:kern w:val="0"/>
          <w:sz w:val="32"/>
          <w:szCs w:val="32"/>
        </w:rPr>
        <w:t>县级财政补助资金。</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评价认为，</w:t>
      </w:r>
      <w:r>
        <w:rPr>
          <w:rFonts w:hint="eastAsia" w:ascii="仿宋_GB2312" w:hAnsi="宋体" w:eastAsia="仿宋_GB2312"/>
          <w:sz w:val="32"/>
          <w:szCs w:val="32"/>
          <w:lang w:val="en-US" w:eastAsia="zh-CN"/>
        </w:rPr>
        <w:t>项目已在2019年如期完成</w:t>
      </w:r>
      <w:r>
        <w:rPr>
          <w:rFonts w:hint="eastAsia" w:ascii="仿宋_GB2312" w:hAnsi="仿宋" w:eastAsia="仿宋_GB2312" w:cs="仿宋"/>
          <w:color w:val="000000"/>
          <w:kern w:val="0"/>
          <w:sz w:val="32"/>
          <w:szCs w:val="32"/>
          <w:lang w:val="en-US" w:eastAsia="zh-CN"/>
        </w:rPr>
        <w:t>收缴</w:t>
      </w:r>
      <w:r>
        <w:rPr>
          <w:rFonts w:hint="eastAsia" w:ascii="仿宋_GB2312" w:hAnsi="仿宋" w:eastAsia="仿宋_GB2312" w:cs="仿宋"/>
          <w:color w:val="000000"/>
          <w:kern w:val="0"/>
          <w:sz w:val="32"/>
          <w:szCs w:val="32"/>
        </w:rPr>
        <w:t>县级财政补助资金</w:t>
      </w:r>
      <w:r>
        <w:rPr>
          <w:rFonts w:hint="eastAsia" w:ascii="仿宋_GB2312" w:hAnsi="仿宋" w:eastAsia="仿宋_GB2312" w:cs="仿宋"/>
          <w:color w:val="000000"/>
          <w:kern w:val="0"/>
          <w:sz w:val="32"/>
          <w:szCs w:val="32"/>
          <w:lang w:val="en-US" w:eastAsia="zh-CN"/>
        </w:rPr>
        <w:t>工作</w:t>
      </w:r>
      <w:r>
        <w:rPr>
          <w:rFonts w:hint="eastAsia" w:ascii="仿宋_GB2312" w:hAnsi="宋体" w:eastAsia="仿宋_GB2312"/>
          <w:sz w:val="32"/>
          <w:szCs w:val="32"/>
        </w:rPr>
        <w:t>。</w:t>
      </w:r>
    </w:p>
    <w:p>
      <w:pPr>
        <w:spacing w:line="360" w:lineRule="auto"/>
        <w:ind w:firstLine="640" w:firstLineChars="200"/>
        <w:rPr>
          <w:rFonts w:ascii="仿宋_GB2312" w:hAnsi="仿宋_GB2312" w:eastAsia="仿宋_GB2312"/>
          <w:sz w:val="32"/>
          <w:szCs w:val="32"/>
          <w:highlight w:val="none"/>
        </w:rPr>
      </w:pPr>
      <w:r>
        <w:rPr>
          <w:rFonts w:hint="eastAsia" w:ascii="仿宋_GB2312" w:hAnsi="仿宋_GB2312" w:eastAsia="仿宋_GB2312"/>
          <w:sz w:val="32"/>
          <w:szCs w:val="32"/>
          <w:highlight w:val="none"/>
        </w:rPr>
        <w:t>（2）项目完成质量</w:t>
      </w:r>
    </w:p>
    <w:p>
      <w:pPr>
        <w:spacing w:line="360" w:lineRule="auto"/>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rPr>
        <w:t>项目实施工作目标明确，项目管理制度切实可行。项目已完成</w:t>
      </w:r>
      <w:r>
        <w:rPr>
          <w:rFonts w:hint="eastAsia" w:ascii="仿宋_GB2312" w:hAnsi="仿宋_GB2312" w:eastAsia="仿宋_GB2312"/>
          <w:sz w:val="32"/>
          <w:szCs w:val="32"/>
          <w:lang w:val="en-US" w:eastAsia="zh-CN"/>
        </w:rPr>
        <w:t>城乡居民医疗保险县级补助资金的筹集并上交至</w:t>
      </w:r>
      <w:r>
        <w:rPr>
          <w:rFonts w:hint="eastAsia" w:ascii="仿宋" w:hAnsi="仿宋" w:eastAsia="仿宋" w:cs="仿宋"/>
          <w:snapToGrid/>
          <w:sz w:val="32"/>
          <w:szCs w:val="32"/>
          <w:lang w:eastAsia="zh-CN"/>
        </w:rPr>
        <w:t>市级财政专户</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但项目未达到《廊坊市城乡居民基本医疗保险实施细则》中“确保当年城乡居民参保率达到95%以上”的要求，实际完成收缴人数为28.51万人，占总人口31万人的91.97%。</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评价认为，</w:t>
      </w:r>
      <w:r>
        <w:rPr>
          <w:rFonts w:hint="eastAsia" w:ascii="仿宋_GB2312" w:hAnsi="仿宋_GB2312" w:eastAsia="仿宋_GB2312"/>
          <w:sz w:val="32"/>
          <w:szCs w:val="32"/>
          <w:lang w:val="en-US" w:eastAsia="zh-CN"/>
        </w:rPr>
        <w:t>县医管中心按照会议决策以及实际的参加医保人数，如数的收缴县级补贴资金并上交市级财政专户</w:t>
      </w:r>
      <w:r>
        <w:rPr>
          <w:rFonts w:hint="eastAsia" w:ascii="仿宋_GB2312" w:hAnsi="仿宋" w:eastAsia="仿宋_GB2312"/>
          <w:sz w:val="32"/>
          <w:szCs w:val="32"/>
        </w:rPr>
        <w:t>。</w:t>
      </w:r>
      <w:r>
        <w:rPr>
          <w:rFonts w:hint="eastAsia" w:ascii="仿宋_GB2312" w:hAnsi="仿宋" w:eastAsia="仿宋_GB2312"/>
          <w:sz w:val="32"/>
          <w:szCs w:val="32"/>
          <w:lang w:val="en-US" w:eastAsia="zh-CN"/>
        </w:rPr>
        <w:t>但</w:t>
      </w:r>
      <w:r>
        <w:rPr>
          <w:rFonts w:hint="eastAsia" w:ascii="仿宋_GB2312" w:hAnsi="仿宋_GB2312" w:eastAsia="仿宋_GB2312"/>
          <w:sz w:val="32"/>
          <w:szCs w:val="32"/>
          <w:lang w:val="en-US" w:eastAsia="zh-CN"/>
        </w:rPr>
        <w:t>项目未完成“参保率达到95%”的要求。</w:t>
      </w:r>
    </w:p>
    <w:p>
      <w:pPr>
        <w:spacing w:line="360" w:lineRule="auto"/>
        <w:ind w:firstLine="640" w:firstLineChars="200"/>
        <w:rPr>
          <w:rFonts w:ascii="仿宋_GB2312" w:eastAsia="仿宋_GB2312"/>
          <w:bCs/>
          <w:kern w:val="44"/>
          <w:sz w:val="32"/>
          <w:szCs w:val="32"/>
        </w:rPr>
      </w:pPr>
      <w:r>
        <w:rPr>
          <w:rFonts w:hint="eastAsia" w:ascii="仿宋_GB2312" w:eastAsia="仿宋_GB2312"/>
          <w:bCs/>
          <w:kern w:val="44"/>
          <w:sz w:val="32"/>
          <w:szCs w:val="32"/>
        </w:rPr>
        <w:t>3.项目效益性分析</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（1）项目预期目标完成情况</w:t>
      </w:r>
    </w:p>
    <w:p>
      <w:pPr>
        <w:spacing w:line="360" w:lineRule="auto"/>
        <w:ind w:firstLine="640" w:firstLineChars="200"/>
        <w:rPr>
          <w:rFonts w:ascii="仿宋_GB2312" w:hAnsi="Times New Roman" w:eastAsia="仿宋_GB2312" w:cs="仿宋_GB2312"/>
          <w:sz w:val="32"/>
          <w:szCs w:val="32"/>
        </w:rPr>
      </w:pPr>
      <w:r>
        <w:rPr>
          <w:rFonts w:hint="eastAsia" w:ascii="仿宋_GB2312" w:eastAsia="仿宋_GB2312"/>
          <w:bCs/>
          <w:kern w:val="44"/>
          <w:sz w:val="32"/>
          <w:szCs w:val="32"/>
        </w:rPr>
        <w:t>项目基本按照预期计划完成绩效目标，截至201</w:t>
      </w:r>
      <w:r>
        <w:rPr>
          <w:rFonts w:hint="eastAsia" w:ascii="仿宋_GB2312" w:eastAsia="仿宋_GB2312"/>
          <w:bCs/>
          <w:kern w:val="44"/>
          <w:sz w:val="32"/>
          <w:szCs w:val="32"/>
          <w:lang w:val="en-US" w:eastAsia="zh-CN"/>
        </w:rPr>
        <w:t>9</w:t>
      </w:r>
      <w:r>
        <w:rPr>
          <w:rFonts w:hint="eastAsia" w:ascii="仿宋_GB2312" w:eastAsia="仿宋_GB2312"/>
          <w:bCs/>
          <w:kern w:val="44"/>
          <w:sz w:val="32"/>
          <w:szCs w:val="32"/>
        </w:rPr>
        <w:t>年12月，</w:t>
      </w:r>
      <w:r>
        <w:rPr>
          <w:rFonts w:hint="eastAsia" w:ascii="仿宋_GB2312" w:eastAsia="仿宋_GB2312"/>
          <w:bCs/>
          <w:kern w:val="44"/>
          <w:sz w:val="32"/>
          <w:szCs w:val="32"/>
          <w:lang w:val="en-US" w:eastAsia="zh-CN"/>
        </w:rPr>
        <w:t>县医管中心已完成城乡居民医疗保险基金筹集，实现城乡居民医疗保险工作顺利开展</w:t>
      </w:r>
      <w:r>
        <w:rPr>
          <w:rFonts w:hint="eastAsia" w:ascii="仿宋_GB2312" w:hAnsi="仿宋" w:eastAsia="仿宋_GB2312" w:cs="仿宋"/>
          <w:color w:val="000000"/>
          <w:kern w:val="0"/>
          <w:sz w:val="32"/>
          <w:szCs w:val="32"/>
        </w:rPr>
        <w:t>。</w:t>
      </w:r>
    </w:p>
    <w:p>
      <w:pPr>
        <w:spacing w:line="360" w:lineRule="auto"/>
        <w:ind w:firstLine="640" w:firstLineChars="200"/>
        <w:rPr>
          <w:rFonts w:ascii="仿宋_GB2312" w:eastAsia="仿宋_GB2312"/>
          <w:bCs/>
          <w:kern w:val="44"/>
          <w:sz w:val="32"/>
          <w:szCs w:val="32"/>
        </w:rPr>
      </w:pPr>
      <w:r>
        <w:rPr>
          <w:rFonts w:hint="eastAsia" w:ascii="仿宋_GB2312" w:hAnsi="仿宋_GB2312" w:eastAsia="仿宋_GB2312"/>
          <w:sz w:val="32"/>
          <w:szCs w:val="32"/>
        </w:rPr>
        <w:t>（2）项目实施对社会的影响</w:t>
      </w:r>
    </w:p>
    <w:p>
      <w:pPr>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通过项目实施，开展</w:t>
      </w:r>
      <w:r>
        <w:rPr>
          <w:rFonts w:hint="eastAsia" w:ascii="仿宋_GB2312" w:hAnsi="仿宋" w:eastAsia="仿宋_GB2312" w:cs="仿宋"/>
          <w:color w:val="000000"/>
          <w:kern w:val="0"/>
          <w:sz w:val="32"/>
          <w:szCs w:val="32"/>
          <w:lang w:val="en-US" w:eastAsia="zh-CN"/>
        </w:rPr>
        <w:t>城乡居民医疗保险补贴工作</w:t>
      </w:r>
      <w:r>
        <w:rPr>
          <w:rFonts w:hint="eastAsia" w:ascii="仿宋_GB2312" w:hAnsi="仿宋" w:eastAsia="仿宋_GB2312" w:cs="仿宋"/>
          <w:color w:val="000000"/>
          <w:kern w:val="0"/>
          <w:sz w:val="32"/>
          <w:szCs w:val="32"/>
        </w:rPr>
        <w:t>，</w:t>
      </w:r>
      <w:r>
        <w:rPr>
          <w:rFonts w:hint="eastAsia" w:ascii="仿宋_GB2312" w:hAnsi="仿宋" w:eastAsia="仿宋_GB2312"/>
          <w:color w:val="000000"/>
          <w:sz w:val="32"/>
          <w:szCs w:val="32"/>
        </w:rPr>
        <w:t>完善医疗保障体系</w:t>
      </w:r>
      <w:r>
        <w:rPr>
          <w:rFonts w:hint="eastAsia" w:ascii="仿宋_GB2312" w:hAnsi="仿宋" w:eastAsia="仿宋_GB2312"/>
          <w:color w:val="000000"/>
          <w:sz w:val="32"/>
          <w:szCs w:val="32"/>
          <w:lang w:eastAsia="zh-CN"/>
        </w:rPr>
        <w:t>，</w:t>
      </w:r>
      <w:r>
        <w:rPr>
          <w:rFonts w:hint="eastAsia" w:ascii="仿宋_GB2312" w:hAnsi="仿宋" w:eastAsia="仿宋_GB2312" w:cs="仿宋"/>
          <w:color w:val="000000"/>
          <w:kern w:val="0"/>
          <w:sz w:val="32"/>
          <w:szCs w:val="32"/>
          <w:lang w:val="en-US" w:eastAsia="zh-CN"/>
        </w:rPr>
        <w:t>为香河县医保基金的正常运转提供了有力保障，</w:t>
      </w:r>
      <w:r>
        <w:rPr>
          <w:rFonts w:hint="eastAsia" w:ascii="仿宋_GB2312" w:hAnsi="仿宋" w:eastAsia="仿宋_GB2312"/>
          <w:color w:val="000000"/>
          <w:sz w:val="32"/>
          <w:szCs w:val="32"/>
        </w:rPr>
        <w:t>关注民生，</w:t>
      </w:r>
      <w:r>
        <w:rPr>
          <w:rFonts w:hint="eastAsia" w:ascii="仿宋_GB2312" w:hAnsi="仿宋" w:eastAsia="仿宋_GB2312"/>
          <w:color w:val="000000"/>
          <w:sz w:val="32"/>
          <w:szCs w:val="32"/>
          <w:lang w:val="en-US" w:eastAsia="zh-CN"/>
        </w:rPr>
        <w:t>对</w:t>
      </w:r>
      <w:r>
        <w:rPr>
          <w:rFonts w:hint="eastAsia" w:ascii="仿宋_GB2312" w:hAnsi="仿宋" w:eastAsia="仿宋_GB2312"/>
          <w:color w:val="000000"/>
          <w:sz w:val="32"/>
          <w:szCs w:val="32"/>
        </w:rPr>
        <w:t>构建和谐社会上发挥了积极作用</w:t>
      </w:r>
      <w:r>
        <w:rPr>
          <w:rFonts w:hint="eastAsia" w:ascii="仿宋_GB2312" w:hAnsi="仿宋" w:eastAsia="仿宋_GB2312"/>
          <w:color w:val="000000"/>
          <w:sz w:val="32"/>
          <w:szCs w:val="32"/>
          <w:lang w:eastAsia="zh-CN"/>
        </w:rPr>
        <w:t>。</w:t>
      </w:r>
      <w:r>
        <w:rPr>
          <w:rFonts w:hint="eastAsia" w:ascii="仿宋_GB2312" w:hAnsi="仿宋" w:eastAsia="仿宋_GB2312" w:cs="仿宋"/>
          <w:color w:val="000000"/>
          <w:kern w:val="0"/>
          <w:sz w:val="32"/>
          <w:szCs w:val="32"/>
          <w:lang w:val="en-US" w:eastAsia="zh-CN"/>
        </w:rPr>
        <w:t>但对于</w:t>
      </w:r>
      <w:r>
        <w:rPr>
          <w:rFonts w:hint="eastAsia" w:ascii="仿宋_GB2312" w:hAnsi="仿宋" w:eastAsia="仿宋_GB2312" w:cs="仿宋"/>
          <w:color w:val="000000"/>
          <w:kern w:val="0"/>
          <w:sz w:val="32"/>
          <w:szCs w:val="32"/>
        </w:rPr>
        <w:t>提升城乡居民对补助政策知晓率</w:t>
      </w:r>
      <w:r>
        <w:rPr>
          <w:rFonts w:hint="eastAsia" w:ascii="仿宋_GB2312" w:hAnsi="仿宋" w:eastAsia="仿宋_GB2312" w:cs="仿宋"/>
          <w:color w:val="000000"/>
          <w:kern w:val="0"/>
          <w:sz w:val="32"/>
          <w:szCs w:val="32"/>
          <w:lang w:val="en-US" w:eastAsia="zh-CN"/>
        </w:rPr>
        <w:t>的</w:t>
      </w:r>
      <w:r>
        <w:rPr>
          <w:rFonts w:hint="eastAsia" w:ascii="仿宋_GB2312" w:hAnsi="仿宋_GB2312" w:eastAsia="仿宋_GB2312"/>
          <w:sz w:val="32"/>
          <w:szCs w:val="32"/>
        </w:rPr>
        <w:t>社会效益作用</w:t>
      </w:r>
      <w:r>
        <w:rPr>
          <w:rFonts w:hint="eastAsia" w:ascii="仿宋_GB2312" w:hAnsi="仿宋_GB2312" w:eastAsia="仿宋_GB2312"/>
          <w:sz w:val="32"/>
          <w:szCs w:val="32"/>
          <w:lang w:val="en-US" w:eastAsia="zh-CN"/>
        </w:rPr>
        <w:t>体现不够</w:t>
      </w:r>
      <w:r>
        <w:rPr>
          <w:rFonts w:hint="eastAsia" w:ascii="仿宋_GB2312" w:hAnsi="仿宋_GB2312" w:eastAsia="仿宋_GB2312"/>
          <w:sz w:val="32"/>
          <w:szCs w:val="32"/>
        </w:rPr>
        <w:t>明显。</w:t>
      </w:r>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评价认为，项目社会效益</w:t>
      </w:r>
      <w:r>
        <w:rPr>
          <w:rFonts w:hint="eastAsia" w:ascii="仿宋_GB2312" w:hAnsi="仿宋" w:eastAsia="仿宋_GB2312"/>
          <w:color w:val="000000"/>
          <w:sz w:val="32"/>
          <w:szCs w:val="32"/>
          <w:lang w:val="en-US" w:eastAsia="zh-CN"/>
        </w:rPr>
        <w:t>不够</w:t>
      </w:r>
      <w:r>
        <w:rPr>
          <w:rFonts w:hint="eastAsia" w:ascii="仿宋_GB2312" w:hAnsi="仿宋" w:eastAsia="仿宋_GB2312"/>
          <w:color w:val="000000"/>
          <w:sz w:val="32"/>
          <w:szCs w:val="32"/>
        </w:rPr>
        <w:t>明显，缺少参保率、知晓率等可比、可测</w:t>
      </w:r>
      <w:r>
        <w:rPr>
          <w:rFonts w:hint="eastAsia" w:ascii="仿宋_GB2312" w:hAnsi="仿宋" w:eastAsia="仿宋_GB2312"/>
          <w:color w:val="000000"/>
          <w:sz w:val="32"/>
          <w:szCs w:val="32"/>
          <w:lang w:val="en-US" w:eastAsia="zh-CN"/>
        </w:rPr>
        <w:t>的</w:t>
      </w:r>
      <w:r>
        <w:rPr>
          <w:rFonts w:hint="eastAsia" w:ascii="仿宋_GB2312" w:hAnsi="仿宋" w:eastAsia="仿宋_GB2312"/>
          <w:color w:val="000000"/>
          <w:sz w:val="32"/>
          <w:szCs w:val="32"/>
        </w:rPr>
        <w:t>佐证资料</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缺少对享受补贴城乡居民所带动的经济发展的分析资料。</w:t>
      </w:r>
    </w:p>
    <w:p>
      <w:pPr>
        <w:spacing w:line="360" w:lineRule="auto"/>
        <w:ind w:firstLine="640" w:firstLineChars="200"/>
        <w:rPr>
          <w:rFonts w:ascii="仿宋_GB2312" w:eastAsia="仿宋_GB2312"/>
          <w:bCs/>
          <w:sz w:val="32"/>
          <w:szCs w:val="32"/>
        </w:rPr>
      </w:pPr>
      <w:r>
        <w:rPr>
          <w:rFonts w:hint="eastAsia" w:ascii="仿宋_GB2312" w:hAnsi="仿宋_GB2312" w:eastAsia="仿宋_GB2312"/>
          <w:sz w:val="32"/>
          <w:szCs w:val="32"/>
        </w:rPr>
        <w:t>（3）</w:t>
      </w:r>
      <w:r>
        <w:rPr>
          <w:rFonts w:hint="eastAsia" w:ascii="仿宋_GB2312" w:eastAsia="仿宋_GB2312"/>
          <w:bCs/>
          <w:sz w:val="32"/>
          <w:szCs w:val="32"/>
        </w:rPr>
        <w:t>项目实施对可持续发展的影响</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通过</w:t>
      </w:r>
      <w:r>
        <w:rPr>
          <w:rFonts w:hint="eastAsia" w:ascii="仿宋_GB2312" w:hAnsi="仿宋" w:eastAsia="仿宋_GB2312" w:cs="仿宋"/>
          <w:color w:val="000000"/>
          <w:kern w:val="0"/>
          <w:sz w:val="32"/>
          <w:szCs w:val="32"/>
          <w:lang w:val="en-US" w:eastAsia="zh-CN"/>
        </w:rPr>
        <w:t>城乡居民医疗保险补贴工作</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能够有效减少城乡居民就医的后顾之忧，能够为参保的城乡居民提供有效的医疗保障</w:t>
      </w:r>
      <w:r>
        <w:rPr>
          <w:rFonts w:hint="eastAsia" w:ascii="仿宋_GB2312" w:hAnsi="仿宋_GB2312" w:eastAsia="仿宋_GB2312"/>
          <w:sz w:val="32"/>
          <w:szCs w:val="32"/>
        </w:rPr>
        <w:t>。</w:t>
      </w:r>
    </w:p>
    <w:p>
      <w:pPr>
        <w:spacing w:line="360" w:lineRule="auto"/>
        <w:ind w:firstLine="646" w:firstLineChars="202"/>
        <w:rPr>
          <w:rFonts w:ascii="仿宋_GB2312" w:hAnsi="仿宋" w:eastAsia="仿宋_GB2312"/>
          <w:color w:val="000000"/>
          <w:sz w:val="32"/>
          <w:szCs w:val="32"/>
        </w:rPr>
      </w:pPr>
      <w:r>
        <w:rPr>
          <w:rFonts w:hint="eastAsia" w:ascii="仿宋_GB2312" w:hAnsi="仿宋" w:eastAsia="仿宋_GB2312"/>
          <w:color w:val="000000"/>
          <w:sz w:val="32"/>
          <w:szCs w:val="32"/>
        </w:rPr>
        <w:t>评价认为，</w:t>
      </w:r>
      <w:r>
        <w:rPr>
          <w:rFonts w:hint="eastAsia" w:ascii="仿宋_GB2312" w:hAnsi="仿宋" w:eastAsia="仿宋_GB2312"/>
          <w:color w:val="000000"/>
          <w:sz w:val="32"/>
          <w:szCs w:val="32"/>
          <w:lang w:val="en-US" w:eastAsia="zh-CN"/>
        </w:rPr>
        <w:t>项目实施能够有效解决城乡居民就医的问题，但缺少可持续性影响的支撑资料</w:t>
      </w:r>
      <w:r>
        <w:rPr>
          <w:rFonts w:hint="eastAsia" w:ascii="仿宋_GB2312" w:hAnsi="仿宋" w:eastAsia="仿宋_GB2312"/>
          <w:color w:val="000000"/>
          <w:sz w:val="32"/>
          <w:szCs w:val="32"/>
        </w:rPr>
        <w:t>。</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（4）服务对象满意度</w:t>
      </w:r>
    </w:p>
    <w:p>
      <w:pPr>
        <w:spacing w:line="360" w:lineRule="auto"/>
        <w:ind w:firstLine="640" w:firstLineChars="200"/>
        <w:rPr>
          <w:rFonts w:ascii="仿宋_GB2312" w:hAnsi="仿宋" w:eastAsia="仿宋_GB2312"/>
          <w:bCs/>
          <w:sz w:val="32"/>
          <w:szCs w:val="32"/>
        </w:rPr>
      </w:pPr>
      <w:bookmarkStart w:id="60" w:name="_Toc365968758"/>
      <w:r>
        <w:rPr>
          <w:rFonts w:hint="eastAsia" w:ascii="仿宋_GB2312" w:hAnsi="仿宋" w:eastAsia="仿宋_GB2312"/>
          <w:bCs/>
          <w:sz w:val="32"/>
          <w:szCs w:val="32"/>
        </w:rPr>
        <w:t>通过项目实施，</w:t>
      </w:r>
      <w:r>
        <w:rPr>
          <w:rFonts w:hint="eastAsia" w:ascii="仿宋_GB2312" w:hAnsi="仿宋" w:eastAsia="仿宋_GB2312"/>
          <w:color w:val="000000"/>
          <w:sz w:val="32"/>
          <w:szCs w:val="32"/>
        </w:rPr>
        <w:t>统筹基金全部用于城乡居民医保待遇支付，提高了人民群众的缴费积极性</w:t>
      </w:r>
      <w:r>
        <w:rPr>
          <w:rFonts w:hint="eastAsia" w:ascii="仿宋_GB2312" w:hAnsi="仿宋" w:eastAsia="仿宋_GB2312"/>
          <w:bCs/>
          <w:sz w:val="32"/>
          <w:szCs w:val="32"/>
        </w:rPr>
        <w:t>，但服务对象满意度调查资料较薄弱，满意度调查设置不够全面，样本量较少，代表性不足。</w:t>
      </w:r>
    </w:p>
    <w:p>
      <w:pPr>
        <w:pStyle w:val="2"/>
        <w:spacing w:line="360" w:lineRule="auto"/>
      </w:pPr>
      <w:bookmarkStart w:id="61" w:name="_Toc426246484"/>
      <w:bookmarkStart w:id="62" w:name="_Toc426226426"/>
      <w:bookmarkStart w:id="63" w:name="_Toc12984"/>
      <w:r>
        <w:rPr>
          <w:rFonts w:hint="eastAsia"/>
        </w:rPr>
        <w:t>四、评价结论</w:t>
      </w:r>
      <w:bookmarkEnd w:id="60"/>
      <w:bookmarkEnd w:id="61"/>
      <w:bookmarkEnd w:id="62"/>
      <w:bookmarkEnd w:id="63"/>
    </w:p>
    <w:p>
      <w:pPr>
        <w:spacing w:line="360" w:lineRule="auto"/>
        <w:ind w:firstLine="640" w:firstLineChars="200"/>
        <w:rPr>
          <w:rFonts w:ascii="仿宋_GB2312" w:hAnsi="仿宋" w:eastAsia="仿宋_GB2312"/>
          <w:bCs/>
          <w:sz w:val="32"/>
          <w:szCs w:val="32"/>
        </w:rPr>
      </w:pPr>
      <w:r>
        <w:rPr>
          <w:rFonts w:hint="eastAsia" w:ascii="仿宋_GB2312" w:hAnsi="仿宋" w:eastAsia="仿宋_GB2312"/>
          <w:bCs/>
          <w:sz w:val="32"/>
          <w:szCs w:val="32"/>
        </w:rPr>
        <w:t>经评价，“城乡居民医疗保险县级补助资金”项目综合评价得分</w:t>
      </w:r>
      <w:r>
        <w:rPr>
          <w:rFonts w:hint="eastAsia" w:ascii="仿宋_GB2312" w:hAnsi="仿宋" w:eastAsia="仿宋_GB2312"/>
          <w:bCs/>
          <w:sz w:val="32"/>
          <w:szCs w:val="32"/>
          <w:lang w:val="en-US" w:eastAsia="zh-CN"/>
        </w:rPr>
        <w:t>81.21</w:t>
      </w:r>
      <w:r>
        <w:rPr>
          <w:rFonts w:hint="eastAsia" w:ascii="仿宋_GB2312" w:hAnsi="仿宋" w:eastAsia="仿宋_GB2312"/>
          <w:bCs/>
          <w:sz w:val="32"/>
          <w:szCs w:val="32"/>
        </w:rPr>
        <w:t>分，其中，项目</w:t>
      </w:r>
      <w:r>
        <w:rPr>
          <w:rFonts w:hint="eastAsia" w:ascii="仿宋_GB2312" w:hAnsi="仿宋" w:eastAsia="仿宋_GB2312"/>
          <w:bCs/>
          <w:sz w:val="32"/>
          <w:szCs w:val="32"/>
          <w:lang w:val="en-US" w:eastAsia="zh-CN"/>
        </w:rPr>
        <w:t>决策12.58</w:t>
      </w:r>
      <w:r>
        <w:rPr>
          <w:rFonts w:hint="eastAsia" w:ascii="仿宋_GB2312" w:hAnsi="仿宋" w:eastAsia="仿宋_GB2312"/>
          <w:bCs/>
          <w:sz w:val="32"/>
          <w:szCs w:val="32"/>
        </w:rPr>
        <w:t>分，项目</w:t>
      </w:r>
      <w:r>
        <w:rPr>
          <w:rFonts w:hint="eastAsia" w:ascii="仿宋_GB2312" w:hAnsi="仿宋" w:eastAsia="仿宋_GB2312"/>
          <w:bCs/>
          <w:sz w:val="32"/>
          <w:szCs w:val="32"/>
          <w:lang w:val="en-US" w:eastAsia="zh-CN"/>
        </w:rPr>
        <w:t>管理24.13</w:t>
      </w:r>
      <w:r>
        <w:rPr>
          <w:rFonts w:hint="eastAsia" w:ascii="仿宋_GB2312" w:hAnsi="仿宋" w:eastAsia="仿宋_GB2312"/>
          <w:bCs/>
          <w:sz w:val="32"/>
          <w:szCs w:val="32"/>
        </w:rPr>
        <w:t>分，项目</w:t>
      </w:r>
      <w:r>
        <w:rPr>
          <w:rFonts w:hint="eastAsia" w:ascii="仿宋_GB2312" w:hAnsi="仿宋" w:eastAsia="仿宋_GB2312"/>
          <w:bCs/>
          <w:sz w:val="32"/>
          <w:szCs w:val="32"/>
          <w:lang w:val="en-US" w:eastAsia="zh-CN"/>
        </w:rPr>
        <w:t>绩效44.50</w:t>
      </w:r>
      <w:r>
        <w:rPr>
          <w:rFonts w:hint="eastAsia" w:ascii="仿宋_GB2312" w:hAnsi="仿宋" w:eastAsia="仿宋_GB2312"/>
          <w:bCs/>
          <w:sz w:val="32"/>
          <w:szCs w:val="32"/>
        </w:rPr>
        <w:t>分</w:t>
      </w:r>
      <w:r>
        <w:rPr>
          <w:rFonts w:hint="eastAsia" w:ascii="仿宋_GB2312" w:hAnsi="仿宋" w:eastAsia="仿宋_GB2312"/>
          <w:bCs/>
          <w:sz w:val="32"/>
          <w:szCs w:val="32"/>
          <w:lang w:eastAsia="zh-CN"/>
        </w:rPr>
        <w:t>，</w:t>
      </w:r>
      <w:r>
        <w:rPr>
          <w:rFonts w:hint="eastAsia" w:ascii="仿宋_GB2312" w:hAnsi="仿宋" w:eastAsia="仿宋_GB2312"/>
          <w:bCs/>
          <w:sz w:val="32"/>
          <w:szCs w:val="32"/>
        </w:rPr>
        <w:t>项目绩效评定结论为“</w:t>
      </w:r>
      <w:r>
        <w:rPr>
          <w:rFonts w:hint="eastAsia" w:ascii="仿宋_GB2312" w:hAnsi="仿宋" w:eastAsia="仿宋_GB2312"/>
          <w:bCs/>
          <w:sz w:val="32"/>
          <w:szCs w:val="32"/>
          <w:lang w:val="en-US" w:eastAsia="zh-CN"/>
        </w:rPr>
        <w:t>良</w:t>
      </w:r>
      <w:bookmarkStart w:id="80" w:name="_GoBack"/>
      <w:bookmarkEnd w:id="80"/>
      <w:r>
        <w:rPr>
          <w:rFonts w:hint="eastAsia" w:ascii="仿宋_GB2312" w:hAnsi="仿宋" w:eastAsia="仿宋_GB2312"/>
          <w:bCs/>
          <w:sz w:val="32"/>
          <w:szCs w:val="32"/>
        </w:rPr>
        <w:t>”。</w:t>
      </w:r>
    </w:p>
    <w:p>
      <w:pPr>
        <w:pStyle w:val="2"/>
        <w:spacing w:line="360" w:lineRule="auto"/>
        <w:ind w:left="0" w:firstLine="643" w:firstLineChars="200"/>
      </w:pPr>
      <w:bookmarkStart w:id="64" w:name="_Toc426246485"/>
      <w:bookmarkStart w:id="65" w:name="_Toc426226427"/>
      <w:bookmarkStart w:id="66" w:name="_Toc5109"/>
      <w:bookmarkStart w:id="67" w:name="_Toc365968759"/>
      <w:r>
        <w:rPr>
          <w:rFonts w:hint="eastAsia"/>
        </w:rPr>
        <w:t>五、问题</w:t>
      </w:r>
      <w:bookmarkEnd w:id="64"/>
      <w:bookmarkEnd w:id="65"/>
      <w:bookmarkEnd w:id="66"/>
      <w:bookmarkEnd w:id="67"/>
      <w:bookmarkStart w:id="68" w:name="_Toc169183194"/>
    </w:p>
    <w:p>
      <w:pPr>
        <w:spacing w:line="360" w:lineRule="auto"/>
        <w:ind w:left="2" w:firstLine="639" w:firstLineChars="199"/>
        <w:rPr>
          <w:rFonts w:ascii="仿宋_GB2312" w:eastAsia="仿宋_GB2312"/>
          <w:b/>
          <w:kern w:val="10"/>
          <w:sz w:val="32"/>
          <w:szCs w:val="32"/>
        </w:rPr>
      </w:pPr>
      <w:bookmarkStart w:id="69" w:name="_Toc426226429"/>
      <w:r>
        <w:rPr>
          <w:rFonts w:hint="eastAsia" w:ascii="仿宋_GB2312" w:eastAsia="仿宋_GB2312"/>
          <w:b/>
          <w:kern w:val="10"/>
          <w:sz w:val="32"/>
          <w:szCs w:val="32"/>
        </w:rPr>
        <w:t>（一）项目支出绩效目标申报表填报不科学</w:t>
      </w:r>
    </w:p>
    <w:p>
      <w:pPr>
        <w:spacing w:line="360" w:lineRule="auto"/>
        <w:ind w:firstLine="672" w:firstLineChars="210"/>
        <w:rPr>
          <w:rFonts w:ascii="仿宋_GB2312" w:eastAsia="仿宋_GB2312"/>
          <w:sz w:val="32"/>
          <w:szCs w:val="32"/>
        </w:rPr>
      </w:pPr>
      <w:r>
        <w:rPr>
          <w:rFonts w:hint="eastAsia" w:ascii="仿宋_GB2312" w:eastAsia="仿宋_GB2312"/>
          <w:sz w:val="32"/>
          <w:szCs w:val="32"/>
        </w:rPr>
        <w:t>绩效申报表填写不明确、欠缺科学合理性</w:t>
      </w:r>
      <w:r>
        <w:rPr>
          <w:rFonts w:hint="eastAsia" w:ascii="仿宋_GB2312" w:eastAsia="仿宋_GB2312"/>
          <w:sz w:val="32"/>
          <w:szCs w:val="32"/>
          <w:lang w:eastAsia="zh-CN"/>
        </w:rPr>
        <w:t>。</w:t>
      </w:r>
      <w:r>
        <w:rPr>
          <w:rFonts w:hint="eastAsia" w:ascii="仿宋_GB2312" w:eastAsia="仿宋_GB2312"/>
          <w:sz w:val="32"/>
          <w:szCs w:val="32"/>
        </w:rPr>
        <w:t>年度绩效目标细化量化不足</w:t>
      </w:r>
      <w:r>
        <w:rPr>
          <w:rFonts w:hint="eastAsia" w:ascii="仿宋_GB2312" w:eastAsia="仿宋_GB2312"/>
          <w:sz w:val="32"/>
          <w:szCs w:val="32"/>
          <w:lang w:eastAsia="zh-CN"/>
        </w:rPr>
        <w:t>。</w:t>
      </w:r>
      <w:r>
        <w:rPr>
          <w:rFonts w:hint="eastAsia" w:ascii="仿宋_GB2312" w:eastAsia="仿宋_GB2312"/>
          <w:sz w:val="32"/>
          <w:szCs w:val="32"/>
        </w:rPr>
        <w:t>质量指标设置不恰当，缺少准确性、及时性等相关指标值</w:t>
      </w:r>
      <w:r>
        <w:rPr>
          <w:rFonts w:hint="eastAsia" w:ascii="仿宋_GB2312" w:eastAsia="仿宋_GB2312"/>
          <w:sz w:val="32"/>
          <w:szCs w:val="32"/>
          <w:lang w:eastAsia="zh-CN"/>
        </w:rPr>
        <w:t>。</w:t>
      </w:r>
      <w:r>
        <w:rPr>
          <w:rFonts w:hint="eastAsia" w:ascii="仿宋_GB2312" w:eastAsia="仿宋_GB2312"/>
          <w:sz w:val="32"/>
          <w:szCs w:val="32"/>
        </w:rPr>
        <w:t>效益指标不完整，缺少参保率等可比可测指标。社会效益不够全面，还应包括补贴对居民个人医疗环境的改善等指标。可持续影响指标</w:t>
      </w:r>
      <w:r>
        <w:rPr>
          <w:rFonts w:hint="eastAsia" w:ascii="仿宋_GB2312" w:eastAsia="仿宋_GB2312"/>
          <w:sz w:val="32"/>
          <w:szCs w:val="32"/>
          <w:lang w:val="en-US" w:eastAsia="zh-CN"/>
        </w:rPr>
        <w:t>设定</w:t>
      </w:r>
      <w:r>
        <w:rPr>
          <w:rFonts w:hint="eastAsia" w:ascii="仿宋_GB2312" w:eastAsia="仿宋_GB2312"/>
          <w:sz w:val="32"/>
          <w:szCs w:val="32"/>
        </w:rPr>
        <w:t>笼统，不</w:t>
      </w:r>
      <w:r>
        <w:rPr>
          <w:rFonts w:hint="eastAsia" w:ascii="仿宋_GB2312" w:eastAsia="仿宋_GB2312"/>
          <w:sz w:val="32"/>
          <w:szCs w:val="32"/>
          <w:lang w:val="en-US" w:eastAsia="zh-CN"/>
        </w:rPr>
        <w:t>够</w:t>
      </w:r>
      <w:r>
        <w:rPr>
          <w:rFonts w:hint="eastAsia" w:ascii="仿宋_GB2312" w:eastAsia="仿宋_GB2312"/>
          <w:sz w:val="32"/>
          <w:szCs w:val="32"/>
        </w:rPr>
        <w:t>明确</w:t>
      </w:r>
      <w:r>
        <w:rPr>
          <w:rFonts w:hint="eastAsia" w:ascii="仿宋_GB2312" w:hAnsi="仿宋_GB2312" w:eastAsia="仿宋_GB2312"/>
          <w:sz w:val="32"/>
          <w:szCs w:val="32"/>
        </w:rPr>
        <w:t>。</w:t>
      </w:r>
    </w:p>
    <w:p>
      <w:pPr>
        <w:spacing w:line="360" w:lineRule="auto"/>
        <w:ind w:firstLine="709"/>
        <w:rPr>
          <w:rFonts w:ascii="仿宋_GB2312" w:hAnsi="仿宋" w:eastAsia="仿宋_GB2312"/>
          <w:sz w:val="32"/>
          <w:szCs w:val="32"/>
        </w:rPr>
      </w:pPr>
      <w:r>
        <w:rPr>
          <w:rFonts w:hint="eastAsia" w:ascii="仿宋_GB2312" w:eastAsia="仿宋_GB2312"/>
          <w:b/>
          <w:kern w:val="10"/>
          <w:sz w:val="32"/>
          <w:szCs w:val="32"/>
        </w:rPr>
        <w:t>（二）</w:t>
      </w:r>
      <w:bookmarkEnd w:id="69"/>
      <w:r>
        <w:rPr>
          <w:rFonts w:hint="eastAsia" w:ascii="仿宋_GB2312" w:eastAsia="仿宋_GB2312"/>
          <w:b/>
          <w:kern w:val="10"/>
          <w:sz w:val="32"/>
          <w:szCs w:val="32"/>
        </w:rPr>
        <w:t>项目立项决策资料不完整</w:t>
      </w:r>
      <w:r>
        <w:rPr>
          <w:rFonts w:hint="eastAsia" w:ascii="仿宋_GB2312" w:eastAsia="仿宋_GB2312"/>
          <w:b/>
          <w:kern w:val="10"/>
          <w:sz w:val="32"/>
          <w:szCs w:val="32"/>
          <w:lang w:eastAsia="zh-CN"/>
        </w:rPr>
        <w:t>，</w:t>
      </w:r>
      <w:r>
        <w:rPr>
          <w:rFonts w:hint="eastAsia" w:ascii="仿宋_GB2312" w:hAnsi="仿宋" w:eastAsia="仿宋_GB2312"/>
          <w:b/>
          <w:bCs/>
          <w:sz w:val="32"/>
          <w:szCs w:val="32"/>
        </w:rPr>
        <w:t>预算编制的合理性</w:t>
      </w:r>
      <w:r>
        <w:rPr>
          <w:rFonts w:hint="eastAsia" w:ascii="仿宋_GB2312" w:hAnsi="仿宋" w:eastAsia="仿宋_GB2312"/>
          <w:b/>
          <w:bCs/>
          <w:sz w:val="32"/>
          <w:szCs w:val="32"/>
          <w:lang w:val="en-US" w:eastAsia="zh-CN"/>
        </w:rPr>
        <w:t>有待</w:t>
      </w:r>
      <w:r>
        <w:rPr>
          <w:rFonts w:hint="eastAsia" w:ascii="仿宋_GB2312" w:hAnsi="仿宋" w:eastAsia="仿宋_GB2312"/>
          <w:b/>
          <w:bCs/>
          <w:sz w:val="32"/>
          <w:szCs w:val="32"/>
        </w:rPr>
        <w:t>提升</w:t>
      </w:r>
    </w:p>
    <w:p>
      <w:pPr>
        <w:spacing w:line="360" w:lineRule="auto"/>
        <w:ind w:firstLine="672" w:firstLineChars="210"/>
        <w:rPr>
          <w:rFonts w:ascii="仿宋_GB2312" w:eastAsia="仿宋_GB2312"/>
          <w:kern w:val="0"/>
          <w:sz w:val="32"/>
          <w:szCs w:val="32"/>
        </w:rPr>
      </w:pPr>
      <w:r>
        <w:rPr>
          <w:rFonts w:hint="eastAsia" w:ascii="仿宋_GB2312" w:eastAsia="仿宋_GB2312"/>
          <w:sz w:val="32"/>
          <w:szCs w:val="32"/>
        </w:rPr>
        <w:t>项目立项决策依据不够充分，项目定位不够清晰。作为经常性项目，缺少对以往项目实施情况、存在问题</w:t>
      </w:r>
      <w:r>
        <w:rPr>
          <w:rFonts w:hint="eastAsia" w:ascii="仿宋_GB2312" w:eastAsia="仿宋_GB2312"/>
          <w:sz w:val="32"/>
          <w:szCs w:val="32"/>
          <w:lang w:val="en-US" w:eastAsia="zh-CN"/>
        </w:rPr>
        <w:t>等</w:t>
      </w:r>
      <w:r>
        <w:rPr>
          <w:rFonts w:hint="eastAsia" w:ascii="仿宋_GB2312" w:eastAsia="仿宋_GB2312"/>
          <w:sz w:val="32"/>
          <w:szCs w:val="32"/>
        </w:rPr>
        <w:t>总结分析，作为今年工作的实施基础</w:t>
      </w:r>
      <w:r>
        <w:rPr>
          <w:rFonts w:hint="eastAsia" w:ascii="仿宋_GB2312" w:eastAsia="仿宋_GB2312"/>
          <w:sz w:val="32"/>
          <w:szCs w:val="32"/>
          <w:lang w:eastAsia="zh-CN"/>
        </w:rPr>
        <w:t>；缺少中长期规划、年度工作方案，未提供年度需求调研和分析</w:t>
      </w:r>
      <w:r>
        <w:rPr>
          <w:rFonts w:hint="eastAsia" w:ascii="仿宋_GB2312" w:eastAsia="仿宋_GB2312"/>
          <w:kern w:val="0"/>
          <w:sz w:val="32"/>
          <w:szCs w:val="32"/>
        </w:rPr>
        <w:t>。</w:t>
      </w:r>
    </w:p>
    <w:p>
      <w:pPr>
        <w:spacing w:line="360" w:lineRule="auto"/>
        <w:ind w:firstLine="640" w:firstLineChars="200"/>
        <w:rPr>
          <w:rFonts w:ascii="仿宋_GB2312" w:eastAsia="仿宋_GB2312"/>
          <w:sz w:val="32"/>
          <w:szCs w:val="32"/>
        </w:rPr>
      </w:pPr>
      <w:bookmarkStart w:id="70" w:name="_Toc426226430"/>
      <w:r>
        <w:rPr>
          <w:rFonts w:hint="eastAsia" w:ascii="仿宋_GB2312" w:hAnsi="仿宋" w:eastAsia="仿宋_GB2312"/>
          <w:sz w:val="32"/>
          <w:szCs w:val="32"/>
        </w:rPr>
        <w:t>预算编制依据不明确，缺少预算明细，资金构成不明确。预算申报3410万元，实际支出31</w:t>
      </w:r>
      <w:r>
        <w:rPr>
          <w:rFonts w:hint="eastAsia" w:ascii="仿宋_GB2312" w:hAnsi="仿宋" w:eastAsia="仿宋_GB2312"/>
          <w:sz w:val="32"/>
          <w:szCs w:val="32"/>
          <w:lang w:val="en-US" w:eastAsia="zh-CN"/>
        </w:rPr>
        <w:t>36.3446</w:t>
      </w:r>
      <w:r>
        <w:rPr>
          <w:rFonts w:hint="eastAsia" w:ascii="仿宋_GB2312" w:hAnsi="仿宋" w:eastAsia="仿宋_GB2312"/>
          <w:sz w:val="32"/>
          <w:szCs w:val="32"/>
        </w:rPr>
        <w:t>万元，预算</w:t>
      </w:r>
      <w:r>
        <w:rPr>
          <w:rFonts w:hint="eastAsia" w:ascii="仿宋_GB2312" w:hAnsi="仿宋" w:eastAsia="仿宋_GB2312"/>
          <w:sz w:val="32"/>
          <w:szCs w:val="32"/>
          <w:lang w:val="en-US" w:eastAsia="zh-CN"/>
        </w:rPr>
        <w:t>执行</w:t>
      </w:r>
      <w:r>
        <w:rPr>
          <w:rFonts w:hint="eastAsia" w:ascii="仿宋_GB2312" w:hAnsi="仿宋" w:eastAsia="仿宋_GB2312"/>
          <w:sz w:val="32"/>
          <w:szCs w:val="32"/>
        </w:rPr>
        <w:t>率91.</w:t>
      </w:r>
      <w:r>
        <w:rPr>
          <w:rFonts w:hint="eastAsia" w:ascii="仿宋_GB2312" w:hAnsi="仿宋" w:eastAsia="仿宋_GB2312"/>
          <w:sz w:val="32"/>
          <w:szCs w:val="32"/>
          <w:lang w:val="en-US" w:eastAsia="zh-CN"/>
        </w:rPr>
        <w:t>9</w:t>
      </w:r>
      <w:r>
        <w:rPr>
          <w:rFonts w:hint="eastAsia" w:ascii="仿宋_GB2312" w:hAnsi="仿宋" w:eastAsia="仿宋_GB2312"/>
          <w:sz w:val="32"/>
          <w:szCs w:val="32"/>
        </w:rPr>
        <w:t>7%。</w:t>
      </w:r>
    </w:p>
    <w:p>
      <w:pPr>
        <w:spacing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w:t>
      </w:r>
      <w:r>
        <w:rPr>
          <w:rFonts w:hint="eastAsia" w:ascii="仿宋_GB2312" w:hAnsi="仿宋_GB2312" w:eastAsia="仿宋_GB2312"/>
          <w:b/>
          <w:sz w:val="32"/>
          <w:szCs w:val="32"/>
          <w:lang w:val="en-US" w:eastAsia="zh-CN"/>
        </w:rPr>
        <w:t>三</w:t>
      </w:r>
      <w:r>
        <w:rPr>
          <w:rFonts w:hint="eastAsia" w:ascii="仿宋_GB2312" w:hAnsi="仿宋_GB2312" w:eastAsia="仿宋_GB2312"/>
          <w:b/>
          <w:sz w:val="32"/>
          <w:szCs w:val="32"/>
        </w:rPr>
        <w:t>）项目过程管理严谨性不足</w:t>
      </w:r>
    </w:p>
    <w:p>
      <w:pPr>
        <w:spacing w:line="360" w:lineRule="auto"/>
        <w:ind w:firstLine="640" w:firstLineChars="200"/>
        <w:rPr>
          <w:rFonts w:hint="eastAsia" w:ascii="仿宋_GB2312" w:hAnsi="仿宋" w:eastAsia="仿宋_GB2312"/>
          <w:color w:val="000000"/>
          <w:kern w:val="0"/>
          <w:sz w:val="32"/>
          <w:szCs w:val="32"/>
          <w:highlight w:val="yellow"/>
          <w:lang w:eastAsia="zh-CN"/>
        </w:rPr>
      </w:pPr>
      <w:r>
        <w:rPr>
          <w:rFonts w:hint="eastAsia" w:ascii="仿宋_GB2312" w:hAnsi="仿宋" w:eastAsia="仿宋_GB2312"/>
          <w:kern w:val="0"/>
          <w:sz w:val="32"/>
          <w:szCs w:val="32"/>
        </w:rPr>
        <w:t>项目管理和实施程序有待规范，项目管理仍不够严谨，缺少业务培训和履职的监督管理</w:t>
      </w:r>
      <w:r>
        <w:rPr>
          <w:rFonts w:hint="eastAsia" w:ascii="仿宋_GB2312" w:hAnsi="仿宋" w:eastAsia="仿宋_GB2312"/>
          <w:kern w:val="0"/>
          <w:sz w:val="32"/>
          <w:szCs w:val="32"/>
          <w:lang w:val="en-US" w:eastAsia="zh-CN"/>
        </w:rPr>
        <w:t>的支撑资料</w:t>
      </w:r>
      <w:r>
        <w:rPr>
          <w:rFonts w:hint="eastAsia" w:ascii="仿宋_GB2312" w:hAnsi="仿宋" w:eastAsia="仿宋_GB2312"/>
          <w:kern w:val="0"/>
          <w:sz w:val="32"/>
          <w:szCs w:val="32"/>
        </w:rPr>
        <w:t>。</w:t>
      </w:r>
      <w:r>
        <w:rPr>
          <w:rFonts w:hint="eastAsia" w:ascii="仿宋_GB2312" w:hAnsi="仿宋" w:eastAsia="仿宋_GB2312"/>
          <w:kern w:val="0"/>
          <w:sz w:val="32"/>
          <w:szCs w:val="32"/>
          <w:lang w:val="en-US" w:eastAsia="zh-CN"/>
        </w:rPr>
        <w:t>绩效报告中</w:t>
      </w:r>
      <w:r>
        <w:rPr>
          <w:rFonts w:hint="eastAsia" w:ascii="仿宋_GB2312" w:hAnsi="仿宋" w:eastAsia="仿宋_GB2312"/>
          <w:kern w:val="0"/>
          <w:sz w:val="32"/>
          <w:szCs w:val="32"/>
        </w:rPr>
        <w:t>“全年开展了4次自检，迎接市、县局的基金检查2次，得到充分肯定和好评”、“定期与经办银行、县财政、内部各业务股室对账制度，确保账实相符。”的反映资料不足</w:t>
      </w:r>
      <w:r>
        <w:rPr>
          <w:rFonts w:hint="eastAsia" w:ascii="仿宋_GB2312" w:hAnsi="仿宋" w:eastAsia="仿宋_GB2312"/>
          <w:kern w:val="0"/>
          <w:sz w:val="32"/>
          <w:szCs w:val="32"/>
          <w:lang w:eastAsia="zh-CN"/>
        </w:rPr>
        <w:t>。项目实施方案不够全面，缺少针对项目的组织保障及责任分工、实施进度计划、单位监督管控措施以及风险防控方面的管理内容。</w:t>
      </w:r>
    </w:p>
    <w:p>
      <w:pPr>
        <w:spacing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w:t>
      </w:r>
      <w:r>
        <w:rPr>
          <w:rFonts w:hint="eastAsia" w:ascii="仿宋_GB2312" w:hAnsi="仿宋_GB2312" w:eastAsia="仿宋_GB2312"/>
          <w:b/>
          <w:sz w:val="32"/>
          <w:szCs w:val="32"/>
          <w:lang w:val="en-US" w:eastAsia="zh-CN"/>
        </w:rPr>
        <w:t>四</w:t>
      </w:r>
      <w:r>
        <w:rPr>
          <w:rFonts w:hint="eastAsia" w:ascii="仿宋_GB2312" w:hAnsi="仿宋_GB2312" w:eastAsia="仿宋_GB2312"/>
          <w:b/>
          <w:sz w:val="32"/>
          <w:szCs w:val="32"/>
        </w:rPr>
        <w:t>）</w:t>
      </w:r>
      <w:bookmarkEnd w:id="70"/>
      <w:r>
        <w:rPr>
          <w:rFonts w:hint="eastAsia" w:ascii="仿宋_GB2312" w:hAnsi="仿宋_GB2312" w:eastAsia="仿宋_GB2312"/>
          <w:b/>
          <w:sz w:val="32"/>
          <w:szCs w:val="32"/>
          <w:lang w:val="en-US" w:eastAsia="zh-CN"/>
        </w:rPr>
        <w:t>参保率未达到指标要求</w:t>
      </w:r>
      <w:r>
        <w:rPr>
          <w:rFonts w:hint="eastAsia" w:ascii="仿宋_GB2312" w:hAnsi="仿宋_GB2312" w:eastAsia="仿宋_GB2312"/>
          <w:b/>
          <w:sz w:val="32"/>
          <w:szCs w:val="32"/>
        </w:rPr>
        <w:t>，</w:t>
      </w:r>
      <w:r>
        <w:rPr>
          <w:rFonts w:hint="eastAsia" w:ascii="仿宋_GB2312" w:hAnsi="仿宋_GB2312" w:eastAsia="仿宋_GB2312"/>
          <w:b/>
          <w:sz w:val="32"/>
          <w:szCs w:val="32"/>
          <w:lang w:val="en-US" w:eastAsia="zh-CN"/>
        </w:rPr>
        <w:t>资料归集不完整，</w:t>
      </w:r>
      <w:r>
        <w:rPr>
          <w:rFonts w:hint="eastAsia" w:ascii="仿宋_GB2312" w:hAnsi="仿宋_GB2312" w:eastAsia="仿宋_GB2312"/>
          <w:b/>
          <w:sz w:val="32"/>
          <w:szCs w:val="32"/>
        </w:rPr>
        <w:t>未能充分展示项目实施效益</w:t>
      </w:r>
    </w:p>
    <w:p>
      <w:pPr>
        <w:spacing w:line="360" w:lineRule="auto"/>
        <w:ind w:firstLine="640" w:firstLineChars="200"/>
        <w:rPr>
          <w:rFonts w:ascii="仿宋_GB2312" w:eastAsia="仿宋_GB2312"/>
          <w:sz w:val="32"/>
          <w:szCs w:val="32"/>
        </w:rPr>
      </w:pPr>
      <w:r>
        <w:rPr>
          <w:rFonts w:hint="eastAsia" w:ascii="仿宋_GB2312" w:hAnsi="仿宋" w:eastAsia="仿宋_GB2312"/>
          <w:sz w:val="32"/>
          <w:szCs w:val="32"/>
        </w:rPr>
        <w:t>绩效成果展现不充分，绩效报告内容不够完整，未系统总结分析项目绩效成果，缺少参保率、知晓率等可比、可测</w:t>
      </w:r>
      <w:r>
        <w:rPr>
          <w:rFonts w:hint="eastAsia" w:ascii="仿宋_GB2312" w:hAnsi="仿宋" w:eastAsia="仿宋_GB2312"/>
          <w:sz w:val="32"/>
          <w:szCs w:val="32"/>
          <w:lang w:val="en-US" w:eastAsia="zh-CN"/>
        </w:rPr>
        <w:t>的</w:t>
      </w:r>
      <w:r>
        <w:rPr>
          <w:rFonts w:hint="eastAsia" w:ascii="仿宋_GB2312" w:hAnsi="仿宋" w:eastAsia="仿宋_GB2312"/>
          <w:sz w:val="32"/>
          <w:szCs w:val="32"/>
        </w:rPr>
        <w:t>佐证资料</w:t>
      </w:r>
      <w:r>
        <w:rPr>
          <w:rFonts w:hint="eastAsia" w:ascii="仿宋_GB2312" w:hAnsi="仿宋" w:eastAsia="仿宋_GB2312"/>
          <w:sz w:val="32"/>
          <w:szCs w:val="32"/>
          <w:lang w:eastAsia="zh-CN"/>
        </w:rPr>
        <w:t>，</w:t>
      </w:r>
      <w:r>
        <w:rPr>
          <w:rFonts w:hint="eastAsia" w:ascii="仿宋_GB2312" w:hAnsi="仿宋" w:eastAsia="仿宋_GB2312"/>
          <w:sz w:val="32"/>
          <w:szCs w:val="32"/>
        </w:rPr>
        <w:t>绩效成果挖掘不深入，缺少数据统计分析。廊坊市城乡居民基本医疗保险实施细则要求：确保当年参保率到达95%，但2019年实际完成91.</w:t>
      </w:r>
      <w:r>
        <w:rPr>
          <w:rFonts w:hint="eastAsia" w:ascii="仿宋_GB2312" w:hAnsi="仿宋" w:eastAsia="仿宋_GB2312"/>
          <w:sz w:val="32"/>
          <w:szCs w:val="32"/>
          <w:lang w:val="en-US" w:eastAsia="zh-CN"/>
        </w:rPr>
        <w:t>9</w:t>
      </w:r>
      <w:r>
        <w:rPr>
          <w:rFonts w:hint="eastAsia" w:ascii="仿宋_GB2312" w:hAnsi="仿宋" w:eastAsia="仿宋_GB2312"/>
          <w:sz w:val="32"/>
          <w:szCs w:val="32"/>
        </w:rPr>
        <w:t>7%。对可持续影响指标提升参保率情况缺少对应的实现达标材料支撑</w:t>
      </w:r>
      <w:r>
        <w:rPr>
          <w:rFonts w:hint="eastAsia" w:ascii="仿宋_GB2312" w:eastAsia="仿宋_GB2312"/>
          <w:sz w:val="32"/>
          <w:szCs w:val="32"/>
        </w:rPr>
        <w:t>。</w:t>
      </w:r>
    </w:p>
    <w:p>
      <w:pPr>
        <w:pStyle w:val="2"/>
        <w:spacing w:line="360" w:lineRule="auto"/>
        <w:ind w:left="0" w:firstLine="643" w:firstLineChars="200"/>
      </w:pPr>
      <w:bookmarkStart w:id="71" w:name="_Toc426226431"/>
      <w:bookmarkStart w:id="72" w:name="_Toc365968763"/>
      <w:bookmarkStart w:id="73" w:name="_Toc426246486"/>
      <w:bookmarkStart w:id="74" w:name="_Toc20743"/>
      <w:r>
        <w:rPr>
          <w:rFonts w:hint="eastAsia"/>
        </w:rPr>
        <w:t>六、建议</w:t>
      </w:r>
      <w:bookmarkEnd w:id="68"/>
      <w:bookmarkEnd w:id="71"/>
      <w:bookmarkEnd w:id="72"/>
      <w:bookmarkEnd w:id="73"/>
      <w:r>
        <w:rPr>
          <w:rFonts w:hint="eastAsia"/>
        </w:rPr>
        <w:t>及整改措施</w:t>
      </w:r>
      <w:bookmarkEnd w:id="74"/>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（一）进一步提科学编制绩效目标表</w:t>
      </w:r>
    </w:p>
    <w:p>
      <w:pPr>
        <w:spacing w:line="360" w:lineRule="auto"/>
        <w:ind w:firstLine="640" w:firstLineChars="200"/>
        <w:contextualSpacing/>
        <w:rPr>
          <w:rFonts w:hint="eastAsia" w:ascii="仿宋_GB2312" w:eastAsia="仿宋_GB2312"/>
          <w:bCs/>
          <w:sz w:val="32"/>
          <w:szCs w:val="32"/>
        </w:rPr>
      </w:pPr>
      <w:r>
        <w:rPr>
          <w:rFonts w:hint="eastAsia" w:ascii="仿宋_GB2312" w:hAnsi="仿宋" w:eastAsia="仿宋_GB2312"/>
          <w:sz w:val="32"/>
          <w:szCs w:val="32"/>
        </w:rPr>
        <w:t>进一步提高事前填报项目支出绩效目标的科学性，规范填报绩效目标申报表，依据相关政策、规划和计划，科学设置绩效目标，细化、量化绩效指标，增强可考量性</w:t>
      </w:r>
      <w:r>
        <w:rPr>
          <w:rFonts w:hint="eastAsia" w:ascii="仿宋_GB2312" w:eastAsia="仿宋_GB2312"/>
          <w:bCs/>
          <w:sz w:val="32"/>
          <w:szCs w:val="32"/>
        </w:rPr>
        <w:t>。</w:t>
      </w:r>
    </w:p>
    <w:p>
      <w:pPr>
        <w:spacing w:line="360" w:lineRule="auto"/>
        <w:ind w:firstLine="640" w:firstLineChars="200"/>
        <w:contextualSpacing/>
        <w:rPr>
          <w:rFonts w:hint="eastAsia" w:ascii="仿宋_GB2312" w:eastAsia="仿宋_GB2312"/>
          <w:bCs/>
          <w:sz w:val="32"/>
          <w:szCs w:val="32"/>
        </w:rPr>
      </w:pPr>
    </w:p>
    <w:p>
      <w:pPr>
        <w:spacing w:line="360" w:lineRule="auto"/>
        <w:ind w:firstLine="643" w:firstLineChars="200"/>
        <w:rPr>
          <w:rFonts w:hint="eastAsia" w:ascii="仿宋_GB2312" w:hAnsi="仿宋" w:eastAsia="仿宋_GB2312"/>
          <w:b/>
          <w:sz w:val="32"/>
          <w:szCs w:val="32"/>
          <w:lang w:eastAsia="zh-CN"/>
        </w:rPr>
      </w:pPr>
      <w:r>
        <w:rPr>
          <w:rFonts w:hint="eastAsia" w:ascii="仿宋_GB2312" w:hAnsi="仿宋" w:eastAsia="仿宋_GB2312"/>
          <w:b/>
          <w:sz w:val="32"/>
          <w:szCs w:val="32"/>
        </w:rPr>
        <w:t>（二）加强项目决策</w:t>
      </w:r>
      <w:r>
        <w:rPr>
          <w:rFonts w:hint="eastAsia" w:ascii="仿宋_GB2312" w:hAnsi="仿宋" w:eastAsia="仿宋_GB2312"/>
          <w:b/>
          <w:sz w:val="32"/>
          <w:szCs w:val="32"/>
          <w:lang w:val="en-US" w:eastAsia="zh-CN"/>
        </w:rPr>
        <w:t>的科学性，提高</w:t>
      </w:r>
      <w:r>
        <w:rPr>
          <w:rFonts w:hint="eastAsia" w:ascii="仿宋_GB2312" w:hAnsi="仿宋_GB2312" w:eastAsia="仿宋_GB2312"/>
          <w:b/>
          <w:sz w:val="32"/>
          <w:szCs w:val="32"/>
        </w:rPr>
        <w:t>预算编制的准确性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依据相关政策和项目内容，制定专项规划或中长期计划，加强对网络宣传重大活动工作的规划引领和计划指导。加强前期需求调研和论证，加强项目立项决策科学性，明确项目定位，规范可行性与必要性论证。</w:t>
      </w:r>
    </w:p>
    <w:p>
      <w:pPr>
        <w:spacing w:line="360" w:lineRule="auto"/>
        <w:ind w:firstLine="640" w:firstLineChars="200"/>
        <w:contextualSpacing/>
        <w:rPr>
          <w:rFonts w:ascii="仿宋_GB2312" w:hAnsi="仿宋" w:eastAsia="仿宋_GB2312"/>
          <w:sz w:val="32"/>
          <w:szCs w:val="32"/>
        </w:rPr>
      </w:pPr>
      <w:r>
        <w:rPr>
          <w:rFonts w:hint="eastAsia" w:ascii="仿宋_GB2312" w:hAnsi="仿宋" w:eastAsia="仿宋_GB2312"/>
          <w:sz w:val="32"/>
          <w:szCs w:val="32"/>
        </w:rPr>
        <w:t>对项目实施内容的预算进行精细化计算。加强并完善项目的定额预算体系，细化、规范预算的编制，提高项目预算编制依据的科学性及预算编制明细的准确性。项目实施前应认真做好摸底调查，减少后续实施过程中的调整。如果实施过程中项目内容及项目预算出现调整，应履行必要的审批程序。</w:t>
      </w:r>
    </w:p>
    <w:p>
      <w:pPr>
        <w:spacing w:line="360" w:lineRule="auto"/>
        <w:ind w:firstLine="643" w:firstLineChars="200"/>
        <w:rPr>
          <w:rFonts w:hint="default" w:ascii="仿宋_GB2312" w:hAnsi="仿宋_GB2312" w:eastAsia="仿宋_GB2312"/>
          <w:b/>
          <w:sz w:val="32"/>
          <w:szCs w:val="32"/>
          <w:lang w:val="en-US" w:eastAsia="zh-CN"/>
        </w:rPr>
      </w:pPr>
      <w:r>
        <w:rPr>
          <w:rFonts w:hint="eastAsia" w:ascii="仿宋_GB2312" w:hAnsi="仿宋_GB2312" w:eastAsia="仿宋_GB2312"/>
          <w:b/>
          <w:sz w:val="32"/>
          <w:szCs w:val="32"/>
        </w:rPr>
        <w:t>（</w:t>
      </w:r>
      <w:r>
        <w:rPr>
          <w:rFonts w:hint="eastAsia" w:ascii="仿宋_GB2312" w:hAnsi="仿宋_GB2312" w:eastAsia="仿宋_GB2312"/>
          <w:b/>
          <w:sz w:val="32"/>
          <w:szCs w:val="32"/>
          <w:lang w:val="en-US" w:eastAsia="zh-CN"/>
        </w:rPr>
        <w:t>三</w:t>
      </w:r>
      <w:r>
        <w:rPr>
          <w:rFonts w:hint="eastAsia" w:ascii="仿宋_GB2312" w:hAnsi="仿宋_GB2312" w:eastAsia="仿宋_GB2312"/>
          <w:b/>
          <w:sz w:val="32"/>
          <w:szCs w:val="32"/>
        </w:rPr>
        <w:t>）</w:t>
      </w:r>
      <w:r>
        <w:rPr>
          <w:rFonts w:hint="eastAsia" w:ascii="仿宋_GB2312" w:hAnsi="仿宋_GB2312" w:eastAsia="仿宋_GB2312"/>
          <w:b/>
          <w:sz w:val="32"/>
          <w:szCs w:val="32"/>
          <w:lang w:val="en-US" w:eastAsia="zh-CN"/>
        </w:rPr>
        <w:t>提高项目精细化管理水平</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加强项目管理流程，重视项目管理工作，提高项目实施方案的有效性及可操作性。重视过程监管，</w:t>
      </w:r>
      <w:r>
        <w:rPr>
          <w:rFonts w:hint="eastAsia" w:ascii="仿宋_GB2312" w:hAnsi="仿宋" w:eastAsia="仿宋_GB2312"/>
          <w:sz w:val="32"/>
          <w:szCs w:val="32"/>
          <w:lang w:val="en-US" w:eastAsia="zh-CN"/>
        </w:rPr>
        <w:t>提高项目精细化管理水平</w:t>
      </w:r>
      <w:r>
        <w:rPr>
          <w:rFonts w:hint="eastAsia" w:ascii="仿宋_GB2312" w:hAnsi="仿宋" w:eastAsia="仿宋_GB2312"/>
          <w:sz w:val="32"/>
          <w:szCs w:val="32"/>
        </w:rPr>
        <w:t>。</w:t>
      </w:r>
    </w:p>
    <w:p>
      <w:pPr>
        <w:spacing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w:t>
      </w:r>
      <w:r>
        <w:rPr>
          <w:rFonts w:hint="eastAsia" w:ascii="仿宋_GB2312" w:hAnsi="仿宋_GB2312" w:eastAsia="仿宋_GB2312"/>
          <w:b/>
          <w:sz w:val="32"/>
          <w:szCs w:val="32"/>
          <w:lang w:val="en-US" w:eastAsia="zh-CN"/>
        </w:rPr>
        <w:t>四</w:t>
      </w:r>
      <w:r>
        <w:rPr>
          <w:rFonts w:hint="eastAsia" w:ascii="仿宋_GB2312" w:hAnsi="仿宋_GB2312" w:eastAsia="仿宋_GB2312"/>
          <w:b/>
          <w:sz w:val="32"/>
          <w:szCs w:val="32"/>
        </w:rPr>
        <w:t>）注重项目资料的收集整理，提高绩效管理意识</w:t>
      </w:r>
    </w:p>
    <w:p>
      <w:pPr>
        <w:adjustRightInd w:val="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充分展现绩效成果</w:t>
      </w:r>
      <w:bookmarkStart w:id="75" w:name="_Hlk513394753"/>
      <w:r>
        <w:rPr>
          <w:rFonts w:hint="eastAsia" w:ascii="仿宋_GB2312" w:hAnsi="仿宋" w:eastAsia="仿宋_GB2312"/>
          <w:sz w:val="32"/>
          <w:szCs w:val="32"/>
        </w:rPr>
        <w:t>，强化财政资金绩效管理意识</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认真落实</w:t>
      </w:r>
      <w:r>
        <w:rPr>
          <w:rFonts w:hint="eastAsia" w:ascii="仿宋_GB2312" w:hAnsi="仿宋" w:eastAsia="仿宋_GB2312"/>
          <w:sz w:val="32"/>
          <w:szCs w:val="32"/>
        </w:rPr>
        <w:t>廊坊市城乡居民基本医疗保险实施细则</w:t>
      </w:r>
      <w:r>
        <w:rPr>
          <w:rFonts w:hint="eastAsia" w:ascii="仿宋_GB2312" w:hAnsi="仿宋" w:eastAsia="仿宋_GB2312"/>
          <w:sz w:val="32"/>
          <w:szCs w:val="32"/>
          <w:lang w:val="en-US" w:eastAsia="zh-CN"/>
        </w:rPr>
        <w:t>的指标要求。</w:t>
      </w:r>
      <w:r>
        <w:rPr>
          <w:rFonts w:hint="eastAsia" w:ascii="仿宋_GB2312" w:hAnsi="仿宋" w:eastAsia="仿宋_GB2312"/>
          <w:sz w:val="32"/>
          <w:szCs w:val="32"/>
        </w:rPr>
        <w:t>在项目实施过程中，围绕绩效目标建立绩效管理机制，注重</w:t>
      </w:r>
      <w:r>
        <w:rPr>
          <w:rFonts w:hint="eastAsia" w:ascii="仿宋_GB2312" w:hAnsi="仿宋" w:eastAsia="仿宋_GB2312"/>
          <w:sz w:val="32"/>
          <w:szCs w:val="32"/>
          <w:lang w:val="en-US" w:eastAsia="zh-CN"/>
        </w:rPr>
        <w:t>绩效成果的分析与总结</w:t>
      </w:r>
      <w:r>
        <w:rPr>
          <w:rFonts w:hint="eastAsia" w:ascii="仿宋_GB2312" w:hAnsi="仿宋" w:eastAsia="仿宋_GB2312"/>
          <w:sz w:val="32"/>
          <w:szCs w:val="32"/>
        </w:rPr>
        <w:t>。</w:t>
      </w:r>
      <w:bookmarkEnd w:id="75"/>
      <w:r>
        <w:rPr>
          <w:rFonts w:hint="eastAsia" w:ascii="仿宋_GB2312" w:hAnsi="仿宋" w:eastAsia="仿宋_GB2312"/>
          <w:sz w:val="32"/>
          <w:szCs w:val="32"/>
        </w:rPr>
        <w:t>进一步规范、完善服务对象满意度调查，明确具体服务对象群体，重视调查问卷的统计分析及结果应用。</w:t>
      </w:r>
    </w:p>
    <w:p>
      <w:pPr>
        <w:pStyle w:val="2"/>
        <w:spacing w:line="360" w:lineRule="auto"/>
        <w:ind w:left="0" w:firstLine="643" w:firstLineChars="200"/>
      </w:pPr>
      <w:bookmarkStart w:id="76" w:name="_Toc365968767"/>
      <w:bookmarkStart w:id="77" w:name="_Toc426226432"/>
      <w:bookmarkStart w:id="78" w:name="_Toc22755"/>
      <w:bookmarkStart w:id="79" w:name="_Toc426246487"/>
      <w:r>
        <w:rPr>
          <w:rFonts w:hint="eastAsia"/>
        </w:rPr>
        <w:t>七、附件</w:t>
      </w:r>
      <w:bookmarkEnd w:id="76"/>
      <w:bookmarkEnd w:id="77"/>
      <w:bookmarkEnd w:id="78"/>
      <w:bookmarkEnd w:id="79"/>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.项目预算执行情况表</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2.项目绩效目标开展情况及收支明细表</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3.专家及评价工作组情况表</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4.专家意见汇总书</w:t>
      </w:r>
    </w:p>
    <w:p>
      <w:pPr>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5.指标体系及打分情况表</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6.反映绩效的相关图片（2幅，扉页位置）</w:t>
      </w:r>
    </w:p>
    <w:p>
      <w:pPr>
        <w:widowControl/>
        <w:jc w:val="left"/>
      </w:pPr>
    </w:p>
    <w:sectPr>
      <w:footerReference r:id="rId5" w:type="first"/>
      <w:footerReference r:id="rId4" w:type="default"/>
      <w:pgSz w:w="11906" w:h="16838"/>
      <w:pgMar w:top="1440" w:right="1797" w:bottom="1440" w:left="1797" w:header="851"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37" o:spid="_x0000_s4137" o:spt="202" type="#_x0000_t202" style="position:absolute;left:0pt;margin-top:0pt;height:144pt;width:144pt;mso-position-horizontal:center;mso-position-horizontal-relative:margin;mso-wrap-style:none;z-index:2516838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138" o:spid="_x0000_s4138" o:spt="202" type="#_x0000_t202" style="position:absolute;left:0pt;margin-left:199.9pt;margin-top:3.35pt;height:144pt;width:144pt;mso-position-horizontal-relative:margin;mso-wrap-style:none;z-index:2516848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w:r>
    <w:r>
      <w:pict>
        <v:shape id="_x0000_s4099" o:spid="_x0000_s4099" o:spt="202" type="#_x0000_t202" style="position:absolute;left:0pt;margin-top:0pt;height:144pt;width:144pt;mso-position-horizontal:center;mso-position-horizontal-relative:margin;mso-wrap-style:none;z-index:251649024;mso-width-relative:page;mso-height-relative:page;" filled="f" stroked="f" coordsize="21600,21600">
          <v:path/>
          <v:fill on="f" focussize="0,0"/>
          <v:stroke on="f" joinstyle="miter"/>
          <v:imagedata o:title=""/>
          <o:lock v:ext="edit"/>
          <v:textbox inset="0mm,0mm,0mm,0mm" style="mso-fit-shape-to-text:t;">
            <w:txbxContent>
              <w:p>
                <w:pPr>
                  <w:pStyle w:val="8"/>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7090B"/>
    <w:multiLevelType w:val="singleLevel"/>
    <w:tmpl w:val="8DC709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934DA"/>
    <w:rsid w:val="00005E54"/>
    <w:rsid w:val="0000691D"/>
    <w:rsid w:val="00030BCD"/>
    <w:rsid w:val="0005099D"/>
    <w:rsid w:val="00052BA1"/>
    <w:rsid w:val="00055F34"/>
    <w:rsid w:val="00066975"/>
    <w:rsid w:val="00071533"/>
    <w:rsid w:val="00073796"/>
    <w:rsid w:val="000769AB"/>
    <w:rsid w:val="00082A79"/>
    <w:rsid w:val="000B2220"/>
    <w:rsid w:val="000B515D"/>
    <w:rsid w:val="000C19A1"/>
    <w:rsid w:val="000D0FCA"/>
    <w:rsid w:val="000D734E"/>
    <w:rsid w:val="000E0764"/>
    <w:rsid w:val="000E3370"/>
    <w:rsid w:val="000F24C9"/>
    <w:rsid w:val="000F72AB"/>
    <w:rsid w:val="000F72C4"/>
    <w:rsid w:val="000F7F11"/>
    <w:rsid w:val="00105440"/>
    <w:rsid w:val="0011505D"/>
    <w:rsid w:val="00120354"/>
    <w:rsid w:val="001245C2"/>
    <w:rsid w:val="00143C16"/>
    <w:rsid w:val="0014637D"/>
    <w:rsid w:val="00146877"/>
    <w:rsid w:val="00146C02"/>
    <w:rsid w:val="001524AB"/>
    <w:rsid w:val="00154EFC"/>
    <w:rsid w:val="001558B6"/>
    <w:rsid w:val="00167875"/>
    <w:rsid w:val="00173803"/>
    <w:rsid w:val="001757A5"/>
    <w:rsid w:val="00175ABB"/>
    <w:rsid w:val="001814F3"/>
    <w:rsid w:val="001820B8"/>
    <w:rsid w:val="00184EE6"/>
    <w:rsid w:val="00185318"/>
    <w:rsid w:val="001944C4"/>
    <w:rsid w:val="001A250F"/>
    <w:rsid w:val="001A6571"/>
    <w:rsid w:val="001C3666"/>
    <w:rsid w:val="001D6F72"/>
    <w:rsid w:val="001E450C"/>
    <w:rsid w:val="001E59C9"/>
    <w:rsid w:val="001E6482"/>
    <w:rsid w:val="00205E66"/>
    <w:rsid w:val="00211DF6"/>
    <w:rsid w:val="002172B0"/>
    <w:rsid w:val="00220665"/>
    <w:rsid w:val="002225B8"/>
    <w:rsid w:val="00233895"/>
    <w:rsid w:val="00233B15"/>
    <w:rsid w:val="00235965"/>
    <w:rsid w:val="0024794C"/>
    <w:rsid w:val="0025356F"/>
    <w:rsid w:val="00257B25"/>
    <w:rsid w:val="0026299D"/>
    <w:rsid w:val="0027011B"/>
    <w:rsid w:val="0027186F"/>
    <w:rsid w:val="00274A9B"/>
    <w:rsid w:val="002760E9"/>
    <w:rsid w:val="0028114A"/>
    <w:rsid w:val="00282026"/>
    <w:rsid w:val="00290070"/>
    <w:rsid w:val="00290DA2"/>
    <w:rsid w:val="002A06F6"/>
    <w:rsid w:val="002A0D18"/>
    <w:rsid w:val="002B4A7D"/>
    <w:rsid w:val="002B5527"/>
    <w:rsid w:val="002D2ABC"/>
    <w:rsid w:val="002E57BC"/>
    <w:rsid w:val="002F3486"/>
    <w:rsid w:val="002F44FB"/>
    <w:rsid w:val="002F6ADF"/>
    <w:rsid w:val="002F7DE8"/>
    <w:rsid w:val="00310DA0"/>
    <w:rsid w:val="00312FBE"/>
    <w:rsid w:val="00323F5A"/>
    <w:rsid w:val="0033120A"/>
    <w:rsid w:val="00342762"/>
    <w:rsid w:val="00362F54"/>
    <w:rsid w:val="0036317F"/>
    <w:rsid w:val="0036478B"/>
    <w:rsid w:val="0037469F"/>
    <w:rsid w:val="0037485D"/>
    <w:rsid w:val="003757B1"/>
    <w:rsid w:val="003809CC"/>
    <w:rsid w:val="00384246"/>
    <w:rsid w:val="003860E0"/>
    <w:rsid w:val="00391D9E"/>
    <w:rsid w:val="00392E8C"/>
    <w:rsid w:val="00395805"/>
    <w:rsid w:val="00396F0E"/>
    <w:rsid w:val="00397608"/>
    <w:rsid w:val="003B18C5"/>
    <w:rsid w:val="003B19D9"/>
    <w:rsid w:val="003D591E"/>
    <w:rsid w:val="003D6958"/>
    <w:rsid w:val="003E369C"/>
    <w:rsid w:val="003E5E45"/>
    <w:rsid w:val="003E769C"/>
    <w:rsid w:val="003E7AB7"/>
    <w:rsid w:val="003F2DBF"/>
    <w:rsid w:val="00403544"/>
    <w:rsid w:val="00415E5C"/>
    <w:rsid w:val="00434FD1"/>
    <w:rsid w:val="00436489"/>
    <w:rsid w:val="004404D8"/>
    <w:rsid w:val="0046560B"/>
    <w:rsid w:val="00472FAA"/>
    <w:rsid w:val="0047304D"/>
    <w:rsid w:val="004864A5"/>
    <w:rsid w:val="00493ACD"/>
    <w:rsid w:val="004A1643"/>
    <w:rsid w:val="004A2089"/>
    <w:rsid w:val="004A66EA"/>
    <w:rsid w:val="004B49ED"/>
    <w:rsid w:val="004D134A"/>
    <w:rsid w:val="004D255D"/>
    <w:rsid w:val="004E6EA6"/>
    <w:rsid w:val="004E703D"/>
    <w:rsid w:val="004E7B9C"/>
    <w:rsid w:val="004E7C1D"/>
    <w:rsid w:val="004F2ABB"/>
    <w:rsid w:val="005023E8"/>
    <w:rsid w:val="00511232"/>
    <w:rsid w:val="005118BF"/>
    <w:rsid w:val="00515298"/>
    <w:rsid w:val="0052194C"/>
    <w:rsid w:val="00524434"/>
    <w:rsid w:val="00526002"/>
    <w:rsid w:val="00530547"/>
    <w:rsid w:val="005514FB"/>
    <w:rsid w:val="00552476"/>
    <w:rsid w:val="00580A06"/>
    <w:rsid w:val="00593353"/>
    <w:rsid w:val="005A1695"/>
    <w:rsid w:val="005B69FD"/>
    <w:rsid w:val="005B7106"/>
    <w:rsid w:val="005B77AC"/>
    <w:rsid w:val="005D4F0F"/>
    <w:rsid w:val="005E1CA4"/>
    <w:rsid w:val="005E7251"/>
    <w:rsid w:val="00601D21"/>
    <w:rsid w:val="006028B9"/>
    <w:rsid w:val="00607157"/>
    <w:rsid w:val="006135B0"/>
    <w:rsid w:val="00615E85"/>
    <w:rsid w:val="0061672A"/>
    <w:rsid w:val="006168E3"/>
    <w:rsid w:val="006179D8"/>
    <w:rsid w:val="00622D1E"/>
    <w:rsid w:val="00630D1D"/>
    <w:rsid w:val="006355D8"/>
    <w:rsid w:val="006400D5"/>
    <w:rsid w:val="00641598"/>
    <w:rsid w:val="0065193C"/>
    <w:rsid w:val="00654974"/>
    <w:rsid w:val="00655E61"/>
    <w:rsid w:val="006613C2"/>
    <w:rsid w:val="00677EF6"/>
    <w:rsid w:val="006911C7"/>
    <w:rsid w:val="006934DA"/>
    <w:rsid w:val="006946A7"/>
    <w:rsid w:val="00694B0D"/>
    <w:rsid w:val="006A07DD"/>
    <w:rsid w:val="006B1282"/>
    <w:rsid w:val="006B7BF7"/>
    <w:rsid w:val="006C77BD"/>
    <w:rsid w:val="006D2F7C"/>
    <w:rsid w:val="006D3ECC"/>
    <w:rsid w:val="006E0E15"/>
    <w:rsid w:val="006F286C"/>
    <w:rsid w:val="006F7DC1"/>
    <w:rsid w:val="00714051"/>
    <w:rsid w:val="00714707"/>
    <w:rsid w:val="0072497C"/>
    <w:rsid w:val="00737636"/>
    <w:rsid w:val="007434A0"/>
    <w:rsid w:val="0074463B"/>
    <w:rsid w:val="00750685"/>
    <w:rsid w:val="00761964"/>
    <w:rsid w:val="00766823"/>
    <w:rsid w:val="00787C14"/>
    <w:rsid w:val="00790ECD"/>
    <w:rsid w:val="007950B2"/>
    <w:rsid w:val="00795290"/>
    <w:rsid w:val="00795D28"/>
    <w:rsid w:val="007A0A0F"/>
    <w:rsid w:val="007A388D"/>
    <w:rsid w:val="007A4527"/>
    <w:rsid w:val="007A4E8F"/>
    <w:rsid w:val="007A63FF"/>
    <w:rsid w:val="007B5C53"/>
    <w:rsid w:val="007B5F5E"/>
    <w:rsid w:val="007B7422"/>
    <w:rsid w:val="007B7454"/>
    <w:rsid w:val="007C6746"/>
    <w:rsid w:val="007C7DB9"/>
    <w:rsid w:val="007C7E2F"/>
    <w:rsid w:val="007D1879"/>
    <w:rsid w:val="007E1C7C"/>
    <w:rsid w:val="00803BD2"/>
    <w:rsid w:val="00805006"/>
    <w:rsid w:val="00815180"/>
    <w:rsid w:val="00823CEF"/>
    <w:rsid w:val="00831CF2"/>
    <w:rsid w:val="00852C9C"/>
    <w:rsid w:val="00861744"/>
    <w:rsid w:val="00861AA4"/>
    <w:rsid w:val="0089148A"/>
    <w:rsid w:val="00892C6E"/>
    <w:rsid w:val="008D35FA"/>
    <w:rsid w:val="008D5097"/>
    <w:rsid w:val="008F550F"/>
    <w:rsid w:val="00901E8A"/>
    <w:rsid w:val="0090712D"/>
    <w:rsid w:val="009116C9"/>
    <w:rsid w:val="0091287F"/>
    <w:rsid w:val="00915375"/>
    <w:rsid w:val="00934995"/>
    <w:rsid w:val="00945A31"/>
    <w:rsid w:val="00955B7A"/>
    <w:rsid w:val="00967044"/>
    <w:rsid w:val="00981880"/>
    <w:rsid w:val="00990A3B"/>
    <w:rsid w:val="00995469"/>
    <w:rsid w:val="009A4489"/>
    <w:rsid w:val="009A54D2"/>
    <w:rsid w:val="009B1243"/>
    <w:rsid w:val="009B5892"/>
    <w:rsid w:val="009D0723"/>
    <w:rsid w:val="009D2187"/>
    <w:rsid w:val="009D3F0B"/>
    <w:rsid w:val="009E083B"/>
    <w:rsid w:val="009E3515"/>
    <w:rsid w:val="009F191C"/>
    <w:rsid w:val="009F1EB1"/>
    <w:rsid w:val="009F23DE"/>
    <w:rsid w:val="00A05FF1"/>
    <w:rsid w:val="00A0763A"/>
    <w:rsid w:val="00A13830"/>
    <w:rsid w:val="00A20BFC"/>
    <w:rsid w:val="00A25B7C"/>
    <w:rsid w:val="00A30246"/>
    <w:rsid w:val="00A33732"/>
    <w:rsid w:val="00A365FD"/>
    <w:rsid w:val="00A4141E"/>
    <w:rsid w:val="00A50810"/>
    <w:rsid w:val="00A50BAE"/>
    <w:rsid w:val="00A575E8"/>
    <w:rsid w:val="00A603E4"/>
    <w:rsid w:val="00A62DC0"/>
    <w:rsid w:val="00A6358A"/>
    <w:rsid w:val="00A70520"/>
    <w:rsid w:val="00A81587"/>
    <w:rsid w:val="00A864B9"/>
    <w:rsid w:val="00AA11B9"/>
    <w:rsid w:val="00AB0713"/>
    <w:rsid w:val="00AB409A"/>
    <w:rsid w:val="00AD7EA8"/>
    <w:rsid w:val="00AE53DD"/>
    <w:rsid w:val="00AE72FE"/>
    <w:rsid w:val="00AF612E"/>
    <w:rsid w:val="00AF74B3"/>
    <w:rsid w:val="00B1132C"/>
    <w:rsid w:val="00B143D6"/>
    <w:rsid w:val="00B1665E"/>
    <w:rsid w:val="00B16D03"/>
    <w:rsid w:val="00B25086"/>
    <w:rsid w:val="00B30791"/>
    <w:rsid w:val="00B33530"/>
    <w:rsid w:val="00B33A89"/>
    <w:rsid w:val="00B35BB9"/>
    <w:rsid w:val="00B4186F"/>
    <w:rsid w:val="00B41887"/>
    <w:rsid w:val="00B448E6"/>
    <w:rsid w:val="00B45F94"/>
    <w:rsid w:val="00B52A1D"/>
    <w:rsid w:val="00B54258"/>
    <w:rsid w:val="00B61111"/>
    <w:rsid w:val="00B655EF"/>
    <w:rsid w:val="00B6670E"/>
    <w:rsid w:val="00B73A89"/>
    <w:rsid w:val="00B73ACA"/>
    <w:rsid w:val="00B73C51"/>
    <w:rsid w:val="00B76B5F"/>
    <w:rsid w:val="00B80F47"/>
    <w:rsid w:val="00B817E8"/>
    <w:rsid w:val="00B843A9"/>
    <w:rsid w:val="00B97208"/>
    <w:rsid w:val="00BA6EE7"/>
    <w:rsid w:val="00BA705F"/>
    <w:rsid w:val="00BB0750"/>
    <w:rsid w:val="00BB370C"/>
    <w:rsid w:val="00BB6DF2"/>
    <w:rsid w:val="00BD51C6"/>
    <w:rsid w:val="00BD5796"/>
    <w:rsid w:val="00BE2F73"/>
    <w:rsid w:val="00BE7904"/>
    <w:rsid w:val="00BF26B5"/>
    <w:rsid w:val="00BF3CC3"/>
    <w:rsid w:val="00BF3F2B"/>
    <w:rsid w:val="00C14ECB"/>
    <w:rsid w:val="00C16BF8"/>
    <w:rsid w:val="00C17F9C"/>
    <w:rsid w:val="00C17FC5"/>
    <w:rsid w:val="00C25285"/>
    <w:rsid w:val="00C30539"/>
    <w:rsid w:val="00C364E9"/>
    <w:rsid w:val="00C42042"/>
    <w:rsid w:val="00C42D91"/>
    <w:rsid w:val="00C4652B"/>
    <w:rsid w:val="00C627F0"/>
    <w:rsid w:val="00C729DB"/>
    <w:rsid w:val="00C83067"/>
    <w:rsid w:val="00C83947"/>
    <w:rsid w:val="00C8627F"/>
    <w:rsid w:val="00C9149F"/>
    <w:rsid w:val="00C93919"/>
    <w:rsid w:val="00C93EC6"/>
    <w:rsid w:val="00C96355"/>
    <w:rsid w:val="00CA2C6C"/>
    <w:rsid w:val="00CA2D21"/>
    <w:rsid w:val="00CD0305"/>
    <w:rsid w:val="00CD1E75"/>
    <w:rsid w:val="00CE2200"/>
    <w:rsid w:val="00CE751B"/>
    <w:rsid w:val="00CF3085"/>
    <w:rsid w:val="00D03AB0"/>
    <w:rsid w:val="00D06BA7"/>
    <w:rsid w:val="00D139CC"/>
    <w:rsid w:val="00D14C38"/>
    <w:rsid w:val="00D160AA"/>
    <w:rsid w:val="00D212E7"/>
    <w:rsid w:val="00D25B0F"/>
    <w:rsid w:val="00D27D32"/>
    <w:rsid w:val="00D36F67"/>
    <w:rsid w:val="00D5048A"/>
    <w:rsid w:val="00D7041C"/>
    <w:rsid w:val="00D74440"/>
    <w:rsid w:val="00D8248D"/>
    <w:rsid w:val="00D907C7"/>
    <w:rsid w:val="00D9430A"/>
    <w:rsid w:val="00D978EB"/>
    <w:rsid w:val="00DA330C"/>
    <w:rsid w:val="00DA68F2"/>
    <w:rsid w:val="00DB388C"/>
    <w:rsid w:val="00DB402B"/>
    <w:rsid w:val="00DB656A"/>
    <w:rsid w:val="00DC27F9"/>
    <w:rsid w:val="00DD0503"/>
    <w:rsid w:val="00DD28C2"/>
    <w:rsid w:val="00DD7486"/>
    <w:rsid w:val="00DD76BB"/>
    <w:rsid w:val="00DE0886"/>
    <w:rsid w:val="00DF0E3F"/>
    <w:rsid w:val="00DF2C32"/>
    <w:rsid w:val="00DF7B23"/>
    <w:rsid w:val="00E30B1A"/>
    <w:rsid w:val="00E43C06"/>
    <w:rsid w:val="00E5192A"/>
    <w:rsid w:val="00E5322B"/>
    <w:rsid w:val="00E538F3"/>
    <w:rsid w:val="00E75801"/>
    <w:rsid w:val="00E76E38"/>
    <w:rsid w:val="00E77321"/>
    <w:rsid w:val="00E86585"/>
    <w:rsid w:val="00E87F94"/>
    <w:rsid w:val="00EA5AD8"/>
    <w:rsid w:val="00EB50C9"/>
    <w:rsid w:val="00EC0CCC"/>
    <w:rsid w:val="00EC213A"/>
    <w:rsid w:val="00EC272D"/>
    <w:rsid w:val="00EC62E5"/>
    <w:rsid w:val="00EC79E6"/>
    <w:rsid w:val="00ED12AF"/>
    <w:rsid w:val="00ED4C72"/>
    <w:rsid w:val="00EE01DC"/>
    <w:rsid w:val="00EE5D18"/>
    <w:rsid w:val="00EF3802"/>
    <w:rsid w:val="00EF538F"/>
    <w:rsid w:val="00EF7685"/>
    <w:rsid w:val="00F00AF7"/>
    <w:rsid w:val="00F059C4"/>
    <w:rsid w:val="00F05F8B"/>
    <w:rsid w:val="00F10801"/>
    <w:rsid w:val="00F116F2"/>
    <w:rsid w:val="00F1751F"/>
    <w:rsid w:val="00F21DBD"/>
    <w:rsid w:val="00F2207F"/>
    <w:rsid w:val="00F22414"/>
    <w:rsid w:val="00F23A10"/>
    <w:rsid w:val="00F365BD"/>
    <w:rsid w:val="00F40B29"/>
    <w:rsid w:val="00F41A6B"/>
    <w:rsid w:val="00F66BBA"/>
    <w:rsid w:val="00F71EE0"/>
    <w:rsid w:val="00F75497"/>
    <w:rsid w:val="00FA6402"/>
    <w:rsid w:val="00FA77B0"/>
    <w:rsid w:val="00FB3292"/>
    <w:rsid w:val="00FD2FC4"/>
    <w:rsid w:val="00FD599D"/>
    <w:rsid w:val="00FD7E0F"/>
    <w:rsid w:val="00FE15F4"/>
    <w:rsid w:val="00FF3C50"/>
    <w:rsid w:val="00FF58FA"/>
    <w:rsid w:val="071864DB"/>
    <w:rsid w:val="08A06C9B"/>
    <w:rsid w:val="09DE0B7C"/>
    <w:rsid w:val="0A3927EC"/>
    <w:rsid w:val="0C6B1DD0"/>
    <w:rsid w:val="0CF1591B"/>
    <w:rsid w:val="0F7F3E64"/>
    <w:rsid w:val="106F6218"/>
    <w:rsid w:val="12DA3532"/>
    <w:rsid w:val="132115AE"/>
    <w:rsid w:val="147505D6"/>
    <w:rsid w:val="14C677EF"/>
    <w:rsid w:val="19FC44F1"/>
    <w:rsid w:val="1F31411E"/>
    <w:rsid w:val="1FAC4516"/>
    <w:rsid w:val="1FE43FA0"/>
    <w:rsid w:val="23012BBA"/>
    <w:rsid w:val="23E90EE3"/>
    <w:rsid w:val="256A24BB"/>
    <w:rsid w:val="273A32EC"/>
    <w:rsid w:val="27CD3935"/>
    <w:rsid w:val="2801726A"/>
    <w:rsid w:val="28500B97"/>
    <w:rsid w:val="28720C91"/>
    <w:rsid w:val="2EAC7229"/>
    <w:rsid w:val="2F754265"/>
    <w:rsid w:val="30573075"/>
    <w:rsid w:val="31356DAA"/>
    <w:rsid w:val="317A21D2"/>
    <w:rsid w:val="371B26B5"/>
    <w:rsid w:val="376E41A9"/>
    <w:rsid w:val="3C1D6508"/>
    <w:rsid w:val="3C9E43AB"/>
    <w:rsid w:val="3CB10D69"/>
    <w:rsid w:val="3E8950E5"/>
    <w:rsid w:val="3EC24621"/>
    <w:rsid w:val="40473415"/>
    <w:rsid w:val="41982708"/>
    <w:rsid w:val="469618B6"/>
    <w:rsid w:val="47D83FF1"/>
    <w:rsid w:val="47EE7BC7"/>
    <w:rsid w:val="4F0A12E0"/>
    <w:rsid w:val="4F4F06F4"/>
    <w:rsid w:val="519704D8"/>
    <w:rsid w:val="577360BD"/>
    <w:rsid w:val="58972F52"/>
    <w:rsid w:val="591914DC"/>
    <w:rsid w:val="5F4D0F36"/>
    <w:rsid w:val="60053731"/>
    <w:rsid w:val="619E2C7B"/>
    <w:rsid w:val="656C0ECB"/>
    <w:rsid w:val="69216935"/>
    <w:rsid w:val="6AF64058"/>
    <w:rsid w:val="6F540B58"/>
    <w:rsid w:val="713A6365"/>
    <w:rsid w:val="71DB6A1E"/>
    <w:rsid w:val="71E67A92"/>
    <w:rsid w:val="743E49BE"/>
    <w:rsid w:val="7518249D"/>
    <w:rsid w:val="77996187"/>
    <w:rsid w:val="77F45F5B"/>
    <w:rsid w:val="783D4F7F"/>
    <w:rsid w:val="7C1215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2"/>
    <w:qFormat/>
    <w:uiPriority w:val="0"/>
    <w:pPr>
      <w:keepNext/>
      <w:keepLines/>
      <w:spacing w:line="540" w:lineRule="exact"/>
      <w:ind w:left="643"/>
      <w:outlineLvl w:val="0"/>
    </w:pPr>
    <w:rPr>
      <w:rFonts w:ascii="仿宋_GB2312" w:hAnsi="Times New Roman" w:eastAsia="仿宋_GB2312" w:cs="Times New Roman"/>
      <w:b/>
      <w:bCs/>
      <w:snapToGrid w:val="0"/>
      <w:kern w:val="44"/>
      <w:sz w:val="32"/>
      <w:szCs w:val="32"/>
    </w:rPr>
  </w:style>
  <w:style w:type="paragraph" w:styleId="3">
    <w:name w:val="heading 2"/>
    <w:basedOn w:val="1"/>
    <w:next w:val="1"/>
    <w:link w:val="23"/>
    <w:qFormat/>
    <w:uiPriority w:val="0"/>
    <w:pPr>
      <w:keepNext/>
      <w:keepLines/>
      <w:ind w:firstLine="640" w:firstLineChars="200"/>
      <w:outlineLvl w:val="1"/>
    </w:pPr>
    <w:rPr>
      <w:rFonts w:ascii="Arial" w:hAnsi="Arial" w:eastAsia="仿宋_GB2312" w:cs="Times New Roman"/>
      <w:snapToGrid w:val="0"/>
      <w:kern w:val="0"/>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unhideWhenUsed/>
    <w:qFormat/>
    <w:uiPriority w:val="0"/>
    <w:pPr>
      <w:jc w:val="left"/>
    </w:pPr>
  </w:style>
  <w:style w:type="paragraph" w:styleId="5">
    <w:name w:val="Date"/>
    <w:basedOn w:val="1"/>
    <w:next w:val="1"/>
    <w:link w:val="29"/>
    <w:semiHidden/>
    <w:unhideWhenUsed/>
    <w:qFormat/>
    <w:uiPriority w:val="0"/>
    <w:pPr>
      <w:ind w:left="100" w:leftChars="2500"/>
    </w:pPr>
  </w:style>
  <w:style w:type="paragraph" w:styleId="6">
    <w:name w:val="Body Text Indent 2"/>
    <w:basedOn w:val="1"/>
    <w:link w:val="30"/>
    <w:qFormat/>
    <w:uiPriority w:val="0"/>
    <w:pPr>
      <w:spacing w:after="120" w:line="480" w:lineRule="auto"/>
      <w:ind w:left="420" w:leftChars="200"/>
    </w:pPr>
    <w:rPr>
      <w:rFonts w:ascii="Times New Roman" w:hAnsi="Times New Roman" w:cs="Times New Roman"/>
      <w:szCs w:val="24"/>
    </w:rPr>
  </w:style>
  <w:style w:type="paragraph" w:styleId="7">
    <w:name w:val="Balloon Text"/>
    <w:basedOn w:val="1"/>
    <w:link w:val="24"/>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608"/>
      </w:tabs>
    </w:pPr>
    <w:rPr>
      <w:rFonts w:ascii="仿宋_GB2312" w:hAnsi="Times New Roman" w:eastAsia="仿宋_GB2312" w:cs="Times New Roman"/>
      <w:b/>
      <w:sz w:val="28"/>
      <w:szCs w:val="28"/>
    </w:rPr>
  </w:style>
  <w:style w:type="paragraph" w:styleId="11">
    <w:name w:val="toc 2"/>
    <w:basedOn w:val="1"/>
    <w:next w:val="1"/>
    <w:qFormat/>
    <w:uiPriority w:val="39"/>
    <w:pPr>
      <w:ind w:left="420" w:leftChars="200"/>
    </w:pPr>
    <w:rPr>
      <w:rFonts w:ascii="Times New Roman" w:hAnsi="Times New Roman" w:cs="Times New Roman"/>
      <w:szCs w:val="24"/>
    </w:rPr>
  </w:style>
  <w:style w:type="paragraph" w:styleId="12">
    <w:name w:val="Normal (Web)"/>
    <w:basedOn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3">
    <w:name w:val="annotation subject"/>
    <w:basedOn w:val="4"/>
    <w:next w:val="4"/>
    <w:link w:val="27"/>
    <w:unhideWhenUsed/>
    <w:qFormat/>
    <w:uiPriority w:val="0"/>
    <w:rPr>
      <w:b/>
      <w:bCs/>
    </w:rPr>
  </w:style>
  <w:style w:type="character" w:styleId="16">
    <w:name w:val="FollowedHyperlink"/>
    <w:basedOn w:val="15"/>
    <w:semiHidden/>
    <w:unhideWhenUsed/>
    <w:qFormat/>
    <w:uiPriority w:val="0"/>
    <w:rPr>
      <w:color w:val="333333"/>
      <w:u w:val="none"/>
    </w:rPr>
  </w:style>
  <w:style w:type="character" w:styleId="17">
    <w:name w:val="Emphasis"/>
    <w:basedOn w:val="15"/>
    <w:qFormat/>
    <w:uiPriority w:val="20"/>
    <w:rPr>
      <w:i/>
    </w:rPr>
  </w:style>
  <w:style w:type="character" w:styleId="18">
    <w:name w:val="Hyperlink"/>
    <w:basedOn w:val="15"/>
    <w:qFormat/>
    <w:uiPriority w:val="99"/>
    <w:rPr>
      <w:color w:val="333333"/>
      <w:u w:val="none"/>
    </w:rPr>
  </w:style>
  <w:style w:type="character" w:styleId="19">
    <w:name w:val="annotation reference"/>
    <w:basedOn w:val="15"/>
    <w:unhideWhenUsed/>
    <w:qFormat/>
    <w:uiPriority w:val="0"/>
    <w:rPr>
      <w:sz w:val="21"/>
      <w:szCs w:val="21"/>
    </w:rPr>
  </w:style>
  <w:style w:type="character" w:customStyle="1" w:styleId="20">
    <w:name w:val="页眉 Char"/>
    <w:basedOn w:val="15"/>
    <w:link w:val="9"/>
    <w:qFormat/>
    <w:uiPriority w:val="99"/>
    <w:rPr>
      <w:sz w:val="18"/>
      <w:szCs w:val="18"/>
    </w:rPr>
  </w:style>
  <w:style w:type="character" w:customStyle="1" w:styleId="21">
    <w:name w:val="页脚 Char"/>
    <w:basedOn w:val="15"/>
    <w:link w:val="8"/>
    <w:qFormat/>
    <w:uiPriority w:val="99"/>
    <w:rPr>
      <w:sz w:val="18"/>
      <w:szCs w:val="18"/>
    </w:rPr>
  </w:style>
  <w:style w:type="character" w:customStyle="1" w:styleId="22">
    <w:name w:val="标题 1 Char"/>
    <w:basedOn w:val="15"/>
    <w:link w:val="2"/>
    <w:qFormat/>
    <w:uiPriority w:val="0"/>
    <w:rPr>
      <w:rFonts w:ascii="仿宋_GB2312" w:hAnsi="Times New Roman" w:eastAsia="仿宋_GB2312" w:cs="Times New Roman"/>
      <w:b/>
      <w:bCs/>
      <w:snapToGrid w:val="0"/>
      <w:kern w:val="44"/>
      <w:sz w:val="32"/>
      <w:szCs w:val="32"/>
    </w:rPr>
  </w:style>
  <w:style w:type="character" w:customStyle="1" w:styleId="23">
    <w:name w:val="标题 2 Char"/>
    <w:basedOn w:val="15"/>
    <w:link w:val="3"/>
    <w:qFormat/>
    <w:uiPriority w:val="0"/>
    <w:rPr>
      <w:rFonts w:ascii="Arial" w:hAnsi="Arial" w:eastAsia="仿宋_GB2312" w:cs="Times New Roman"/>
      <w:snapToGrid w:val="0"/>
      <w:kern w:val="0"/>
      <w:sz w:val="32"/>
      <w:szCs w:val="32"/>
    </w:rPr>
  </w:style>
  <w:style w:type="character" w:customStyle="1" w:styleId="24">
    <w:name w:val="批注框文本 Char"/>
    <w:basedOn w:val="15"/>
    <w:link w:val="7"/>
    <w:semiHidden/>
    <w:qFormat/>
    <w:uiPriority w:val="99"/>
    <w:rPr>
      <w:sz w:val="18"/>
      <w:szCs w:val="18"/>
    </w:rPr>
  </w:style>
  <w:style w:type="paragraph" w:customStyle="1" w:styleId="25">
    <w:name w:val="列出段落1"/>
    <w:basedOn w:val="1"/>
    <w:qFormat/>
    <w:uiPriority w:val="34"/>
    <w:pPr>
      <w:ind w:firstLine="420" w:firstLineChars="200"/>
    </w:pPr>
    <w:rPr>
      <w:rFonts w:ascii="Times New Roman" w:hAnsi="Times New Roman" w:cs="Times New Roman"/>
      <w:szCs w:val="24"/>
    </w:rPr>
  </w:style>
  <w:style w:type="character" w:customStyle="1" w:styleId="26">
    <w:name w:val="批注文字 Char"/>
    <w:basedOn w:val="15"/>
    <w:link w:val="4"/>
    <w:semiHidden/>
    <w:qFormat/>
    <w:uiPriority w:val="0"/>
    <w:rPr>
      <w:rFonts w:ascii="Calibri" w:hAnsi="Calibri" w:cs="黑体"/>
      <w:kern w:val="2"/>
      <w:sz w:val="21"/>
      <w:szCs w:val="22"/>
    </w:rPr>
  </w:style>
  <w:style w:type="character" w:customStyle="1" w:styleId="27">
    <w:name w:val="批注主题 Char"/>
    <w:basedOn w:val="26"/>
    <w:link w:val="13"/>
    <w:semiHidden/>
    <w:qFormat/>
    <w:uiPriority w:val="0"/>
    <w:rPr>
      <w:rFonts w:ascii="Calibri" w:hAnsi="Calibri" w:cs="黑体"/>
      <w:b/>
      <w:bCs/>
      <w:kern w:val="2"/>
      <w:sz w:val="21"/>
      <w:szCs w:val="22"/>
    </w:rPr>
  </w:style>
  <w:style w:type="paragraph" w:customStyle="1" w:styleId="28">
    <w:name w:val="修订1"/>
    <w:hidden/>
    <w:unhideWhenUsed/>
    <w:qFormat/>
    <w:uiPriority w:val="99"/>
    <w:rPr>
      <w:rFonts w:ascii="Calibri" w:hAnsi="Calibri" w:eastAsia="宋体" w:cs="黑体"/>
      <w:kern w:val="2"/>
      <w:sz w:val="21"/>
      <w:szCs w:val="22"/>
      <w:lang w:val="en-US" w:eastAsia="zh-CN" w:bidi="ar-SA"/>
    </w:rPr>
  </w:style>
  <w:style w:type="character" w:customStyle="1" w:styleId="29">
    <w:name w:val="日期 Char"/>
    <w:basedOn w:val="15"/>
    <w:link w:val="5"/>
    <w:semiHidden/>
    <w:qFormat/>
    <w:uiPriority w:val="0"/>
    <w:rPr>
      <w:rFonts w:ascii="Calibri" w:hAnsi="Calibri" w:cs="黑体"/>
      <w:kern w:val="2"/>
      <w:sz w:val="21"/>
      <w:szCs w:val="22"/>
    </w:rPr>
  </w:style>
  <w:style w:type="character" w:customStyle="1" w:styleId="30">
    <w:name w:val="正文文本缩进 2 Char"/>
    <w:basedOn w:val="15"/>
    <w:link w:val="6"/>
    <w:qFormat/>
    <w:uiPriority w:val="0"/>
    <w:rPr>
      <w:kern w:val="2"/>
      <w:sz w:val="21"/>
      <w:szCs w:val="24"/>
    </w:rPr>
  </w:style>
  <w:style w:type="paragraph" w:styleId="31">
    <w:name w:val="List Paragraph"/>
    <w:basedOn w:val="1"/>
    <w:qFormat/>
    <w:uiPriority w:val="99"/>
    <w:pPr>
      <w:widowControl/>
      <w:ind w:firstLine="420" w:firstLineChars="200"/>
      <w:jc w:val="left"/>
    </w:pPr>
    <w:rPr>
      <w:rFonts w:ascii="宋体" w:hAnsi="宋体" w:cs="宋体"/>
      <w:kern w:val="0"/>
      <w:sz w:val="24"/>
      <w:szCs w:val="24"/>
    </w:rPr>
  </w:style>
  <w:style w:type="paragraph" w:customStyle="1" w:styleId="32">
    <w:name w:val="样式 列出段落 + (西文) Times New Roman (中文) 仿宋_GB2312 小四 加粗 首行缩进:  2..."/>
    <w:basedOn w:val="25"/>
    <w:qFormat/>
    <w:uiPriority w:val="0"/>
    <w:pPr>
      <w:spacing w:line="336" w:lineRule="auto"/>
      <w:ind w:firstLine="482"/>
    </w:pPr>
    <w:rPr>
      <w:rFonts w:eastAsia="仿宋_GB2312" w:cs="宋体"/>
      <w:b/>
      <w:bCs/>
      <w:sz w:val="24"/>
    </w:rPr>
  </w:style>
  <w:style w:type="character" w:customStyle="1" w:styleId="33">
    <w:name w:val="icon8"/>
    <w:basedOn w:val="15"/>
    <w:qFormat/>
    <w:uiPriority w:val="0"/>
  </w:style>
  <w:style w:type="character" w:customStyle="1" w:styleId="34">
    <w:name w:val="wx-space"/>
    <w:basedOn w:val="15"/>
    <w:qFormat/>
    <w:uiPriority w:val="0"/>
  </w:style>
  <w:style w:type="character" w:customStyle="1" w:styleId="35">
    <w:name w:val="wx-space1"/>
    <w:basedOn w:val="15"/>
    <w:qFormat/>
    <w:uiPriority w:val="0"/>
  </w:style>
  <w:style w:type="character" w:customStyle="1" w:styleId="36">
    <w:name w:val="icon3"/>
    <w:basedOn w:val="15"/>
    <w:qFormat/>
    <w:uiPriority w:val="0"/>
  </w:style>
  <w:style w:type="character" w:customStyle="1" w:styleId="37">
    <w:name w:val="icon1"/>
    <w:basedOn w:val="15"/>
    <w:qFormat/>
    <w:uiPriority w:val="0"/>
  </w:style>
  <w:style w:type="character" w:customStyle="1" w:styleId="38">
    <w:name w:val="bsharetext"/>
    <w:basedOn w:val="15"/>
    <w:qFormat/>
    <w:uiPriority w:val="0"/>
  </w:style>
  <w:style w:type="character" w:customStyle="1" w:styleId="39">
    <w:name w:val="icon7"/>
    <w:basedOn w:val="15"/>
    <w:qFormat/>
    <w:uiPriority w:val="0"/>
  </w:style>
  <w:style w:type="character" w:customStyle="1" w:styleId="40">
    <w:name w:val="icon2"/>
    <w:basedOn w:val="15"/>
    <w:qFormat/>
    <w:uiPriority w:val="0"/>
  </w:style>
  <w:style w:type="character" w:customStyle="1" w:styleId="41">
    <w:name w:val="icon4"/>
    <w:basedOn w:val="15"/>
    <w:qFormat/>
    <w:uiPriority w:val="0"/>
  </w:style>
  <w:style w:type="character" w:customStyle="1" w:styleId="42">
    <w:name w:val="icon5"/>
    <w:basedOn w:val="15"/>
    <w:qFormat/>
    <w:uiPriority w:val="0"/>
  </w:style>
  <w:style w:type="character" w:customStyle="1" w:styleId="43">
    <w:name w:val="icon6"/>
    <w:basedOn w:val="15"/>
    <w:qFormat/>
    <w:uiPriority w:val="0"/>
  </w:style>
  <w:style w:type="character" w:customStyle="1" w:styleId="44">
    <w:name w:val="hover20"/>
    <w:basedOn w:val="15"/>
    <w:qFormat/>
    <w:uiPriority w:val="0"/>
    <w:rPr>
      <w:color w:val="00000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37" textRotate="1"/>
    <customShpInfo spid="_x0000_s4138" textRotate="1"/>
    <customShpInfo spid="_x0000_s409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3D374-73B2-4265-8D29-771EA45F43E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1387</Words>
  <Characters>7906</Characters>
  <Lines>65</Lines>
  <Paragraphs>18</Paragraphs>
  <TotalTime>13</TotalTime>
  <ScaleCrop>false</ScaleCrop>
  <LinksUpToDate>false</LinksUpToDate>
  <CharactersWithSpaces>9275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2020-01-14T05:17:00Z</dcterms:created>
  <dc:creator>jiyanbin</dc:creator>
  <cp:lastModifiedBy>青冘</cp:lastModifiedBy>
  <cp:lastPrinted>2020-12-12T06:46:00Z</cp:lastPrinted>
  <dcterms:modified xsi:type="dcterms:W3CDTF">2020-12-30T06:51:57Z</dcterms:modified>
  <dc:title>北京市东城区财政项目支出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